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double" w:color="auto" w:sz="4"/>
          <w:left w:val="double" w:color="auto" w:sz="4"/>
          <w:bottom w:val="double" w:color="auto" w:sz="4"/>
          <w:right w:val="doub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500"/>
        <w:gridCol w:w="4354"/>
        <w:gridCol w:w="2074"/>
        <w:gridCol w:w="2857"/>
      </w:tblGrid>
      <w:tr w:rsidR="71770959" w:rsidTr="71770959" w14:paraId="74067993">
        <w:trPr>
          <w:trHeight w:val="300"/>
        </w:trPr>
        <w:tc>
          <w:tcPr>
            <w:tcW w:w="1500" w:type="dxa"/>
            <w:tcBorders>
              <w:top w:val="double" w:sz="6"/>
              <w:left w:val="double" w:sz="6"/>
              <w:bottom w:val="single" w:sz="6"/>
              <w:right w:val="single" w:sz="6"/>
            </w:tcBorders>
            <w:tcMar/>
            <w:vAlign w:val="center"/>
          </w:tcPr>
          <w:p w:rsidR="71770959" w:rsidP="71770959" w:rsidRDefault="71770959" w14:paraId="77053BDF" w14:textId="5666444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1770959" w:rsidR="71770959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Title:</w:t>
            </w:r>
            <w:r w:rsidRPr="71770959" w:rsidR="7177095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71770959" w:rsidR="717709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54" w:type="dxa"/>
            <w:tcBorders>
              <w:top w:val="doub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EC128E4" w:rsidP="71770959" w:rsidRDefault="2EC128E4" w14:paraId="2C074044" w14:textId="2FAF6D2A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eastAsia="Times New Roman" w:cs="Calibri"/>
              </w:rPr>
            </w:pPr>
            <w:r w:rsidR="2EC128E4">
              <w:rPr/>
              <w:t xml:space="preserve">Procedure Guidelines for University of Colorado Hospital Inpatient CTRC  </w:t>
            </w:r>
          </w:p>
          <w:p w:rsidR="71770959" w:rsidP="71770959" w:rsidRDefault="71770959" w14:paraId="461CDB25" w14:textId="6EC3DBA2">
            <w:pPr>
              <w:tabs>
                <w:tab w:val="center" w:leader="none" w:pos="4320"/>
                <w:tab w:val="right" w:leader="none" w:pos="8640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74" w:type="dxa"/>
            <w:tcBorders>
              <w:top w:val="double" w:sz="6"/>
              <w:left w:val="single" w:sz="6"/>
              <w:bottom w:val="nil"/>
              <w:right w:val="single" w:sz="6"/>
            </w:tcBorders>
            <w:tcMar/>
            <w:vAlign w:val="center"/>
          </w:tcPr>
          <w:p w:rsidR="71770959" w:rsidP="71770959" w:rsidRDefault="71770959" w14:paraId="190575E0" w14:textId="5772DEE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770959" w:rsidR="71770959">
              <w:rPr>
                <w:rStyle w:val="eop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Approval Date:</w:t>
            </w:r>
          </w:p>
        </w:tc>
        <w:tc>
          <w:tcPr>
            <w:tcW w:w="2857" w:type="dxa"/>
            <w:tcBorders>
              <w:top w:val="double" w:sz="6"/>
              <w:left w:val="single" w:sz="6"/>
              <w:bottom w:val="nil"/>
              <w:right w:val="double" w:sz="6"/>
            </w:tcBorders>
            <w:tcMar/>
            <w:vAlign w:val="center"/>
          </w:tcPr>
          <w:p w:rsidR="71770959" w:rsidP="71770959" w:rsidRDefault="71770959" w14:paraId="28601D14" w14:textId="3072515A">
            <w:pPr>
              <w:tabs>
                <w:tab w:val="center" w:leader="none" w:pos="4320"/>
                <w:tab w:val="right" w:leader="none" w:pos="8640"/>
              </w:tabs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770959" w:rsidR="7177095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71770959" w:rsidR="026C4B09">
              <w:rPr>
                <w:rFonts w:eastAsia="Times New Roman" w:cs="Calibri"/>
              </w:rPr>
              <w:t>6.27.2025</w:t>
            </w:r>
          </w:p>
          <w:p w:rsidR="71770959" w:rsidP="71770959" w:rsidRDefault="71770959" w14:paraId="4380BA2D" w14:textId="1501F1EA">
            <w:pPr>
              <w:spacing w:before="0" w:beforeAutospacing="off" w:after="0" w:afterAutospacing="off"/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1770959" w:rsidTr="71770959" w14:paraId="00E33A63">
        <w:trPr>
          <w:trHeight w:val="300"/>
        </w:trPr>
        <w:tc>
          <w:tcPr>
            <w:tcW w:w="5854" w:type="dxa"/>
            <w:gridSpan w:val="2"/>
            <w:vMerge w:val="restart"/>
            <w:tcBorders>
              <w:top w:val="single" w:sz="6"/>
              <w:left w:val="double" w:sz="6"/>
              <w:bottom w:val="single" w:sz="6"/>
              <w:right w:val="single" w:sz="6"/>
            </w:tcBorders>
            <w:tcMar/>
            <w:vAlign w:val="center"/>
          </w:tcPr>
          <w:p w:rsidR="71770959" w:rsidP="71770959" w:rsidRDefault="71770959" w14:paraId="67A5611D" w14:textId="15A838D0">
            <w:pPr>
              <w:spacing w:before="0" w:beforeAutospacing="off" w:after="0" w:afterAutospacing="off"/>
              <w:rPr>
                <w:rFonts w:eastAsia="Times New Roman" w:cs="Calibri"/>
                <w:b w:val="1"/>
                <w:bCs w:val="1"/>
              </w:rPr>
            </w:pPr>
            <w:r w:rsidRPr="71770959" w:rsidR="71770959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Department: </w:t>
            </w:r>
            <w:r w:rsidRPr="71770959" w:rsidR="7177095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  </w:t>
            </w:r>
            <w:r w:rsidRPr="71770959" w:rsidR="0373E92F">
              <w:rPr>
                <w:rFonts w:eastAsia="Times New Roman" w:cs="Calibri"/>
                <w:b w:val="0"/>
                <w:bCs w:val="0"/>
              </w:rPr>
              <w:t>Adult</w:t>
            </w:r>
            <w:r w:rsidRPr="71770959" w:rsidR="0373E92F">
              <w:rPr>
                <w:rFonts w:eastAsia="Times New Roman" w:cs="Calibri"/>
                <w:b w:val="1"/>
                <w:bCs w:val="1"/>
              </w:rPr>
              <w:t xml:space="preserve"> </w:t>
            </w:r>
            <w:r w:rsidRPr="71770959" w:rsidR="0373E92F">
              <w:rPr>
                <w:rFonts w:eastAsia="Times New Roman" w:cs="Calibri"/>
              </w:rPr>
              <w:t>CTRC, CCTSI</w:t>
            </w:r>
          </w:p>
        </w:tc>
        <w:tc>
          <w:tcPr>
            <w:tcW w:w="2074" w:type="dxa"/>
            <w:tcBorders>
              <w:top w:val="double" w:sz="6"/>
              <w:left w:val="nil"/>
              <w:bottom w:val="nil"/>
              <w:right w:val="single" w:sz="6"/>
            </w:tcBorders>
            <w:tcMar/>
            <w:vAlign w:val="center"/>
          </w:tcPr>
          <w:p w:rsidR="71770959" w:rsidP="71770959" w:rsidRDefault="71770959" w14:paraId="4504E33E" w14:textId="0E96B46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770959" w:rsidR="71770959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Required Revision Date:</w:t>
            </w:r>
            <w:r w:rsidRPr="71770959" w:rsidR="7177095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857" w:type="dxa"/>
            <w:tcBorders>
              <w:top w:val="double" w:sz="6"/>
              <w:left w:val="single" w:sz="6"/>
              <w:bottom w:val="nil"/>
              <w:right w:val="double" w:sz="6"/>
            </w:tcBorders>
            <w:tcMar/>
            <w:vAlign w:val="center"/>
          </w:tcPr>
          <w:p w:rsidR="36707B27" w:rsidP="71770959" w:rsidRDefault="36707B27" w14:paraId="5F0AACB1" w14:textId="72A92ACC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eastAsia="Times New Roman" w:cs="Calibri"/>
              </w:rPr>
            </w:pPr>
            <w:r w:rsidRPr="71770959" w:rsidR="36707B27">
              <w:rPr>
                <w:rFonts w:eastAsia="Times New Roman" w:cs="Calibri"/>
              </w:rPr>
              <w:t>6.27.2025</w:t>
            </w:r>
          </w:p>
        </w:tc>
      </w:tr>
      <w:tr w:rsidR="71770959" w:rsidTr="71770959" w14:paraId="2883DFB9">
        <w:trPr>
          <w:trHeight w:val="300"/>
        </w:trPr>
        <w:tc>
          <w:tcPr>
            <w:tcW w:w="5854" w:type="dxa"/>
            <w:gridSpan w:val="2"/>
            <w:vMerge/>
            <w:tcBorders>
              <w:top w:sz="0"/>
              <w:left w:val="double" w:sz="0"/>
              <w:bottom w:val="single" w:sz="0"/>
              <w:right w:val="single" w:sz="0"/>
            </w:tcBorders>
            <w:tcMar/>
            <w:vAlign w:val="center"/>
          </w:tcPr>
          <w:p w14:paraId="34161F9C"/>
        </w:tc>
        <w:tc>
          <w:tcPr>
            <w:tcW w:w="2074" w:type="dxa"/>
            <w:tcBorders>
              <w:top w:val="nil"/>
              <w:left w:val="nil"/>
              <w:bottom w:val="single" w:sz="6"/>
              <w:right w:val="single" w:sz="6"/>
            </w:tcBorders>
            <w:tcMar/>
            <w:vAlign w:val="center"/>
          </w:tcPr>
          <w:p w:rsidR="71770959" w:rsidP="71770959" w:rsidRDefault="71770959" w14:paraId="5520F637" w14:textId="2E8D543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nil"/>
              <w:left w:val="single" w:sz="6"/>
              <w:bottom w:val="single" w:sz="6"/>
              <w:right w:val="double" w:sz="6"/>
            </w:tcBorders>
            <w:tcMar/>
            <w:vAlign w:val="center"/>
          </w:tcPr>
          <w:p w:rsidR="71770959" w:rsidP="71770959" w:rsidRDefault="71770959" w14:paraId="20D447A2" w14:textId="02C463F9">
            <w:pPr>
              <w:spacing w:before="0" w:beforeAutospacing="off" w:after="0" w:afterAutospacing="off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71770959" w:rsidTr="71770959" w14:paraId="216C2612">
        <w:trPr>
          <w:trHeight w:val="300"/>
        </w:trPr>
        <w:tc>
          <w:tcPr>
            <w:tcW w:w="1500" w:type="dxa"/>
            <w:vMerge w:val="restart"/>
            <w:tcBorders>
              <w:top w:val="nil" w:sz="6"/>
              <w:left w:val="double" w:sz="6"/>
              <w:bottom w:val="double" w:sz="6"/>
              <w:right w:val="single" w:sz="6"/>
            </w:tcBorders>
            <w:tcMar/>
            <w:vAlign w:val="center"/>
          </w:tcPr>
          <w:p w:rsidR="71770959" w:rsidP="71770959" w:rsidRDefault="71770959" w14:paraId="4D7063DE" w14:textId="4802204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770959" w:rsidR="71770959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Approved &amp; Reviewed by:</w:t>
            </w:r>
            <w:r w:rsidRPr="71770959" w:rsidR="7177095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354" w:type="dxa"/>
            <w:vMerge w:val="restart"/>
            <w:tcBorders>
              <w:top w:val="nil" w:sz="6"/>
              <w:left w:val="single" w:sz="6"/>
              <w:bottom w:val="double" w:sz="6"/>
              <w:right w:val="single" w:sz="6"/>
            </w:tcBorders>
            <w:tcMar/>
            <w:vAlign w:val="center"/>
          </w:tcPr>
          <w:p w:rsidR="71770959" w:rsidP="71770959" w:rsidRDefault="71770959" w14:paraId="62288BF5" w14:textId="6309B529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eastAsia="Times New Roman" w:cs="Calibri"/>
              </w:rPr>
            </w:pPr>
            <w:r w:rsidRPr="71770959" w:rsidR="7177095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  </w:t>
            </w:r>
            <w:r w:rsidRPr="71770959" w:rsidR="196A305F">
              <w:rPr>
                <w:rFonts w:eastAsia="Times New Roman" w:cs="Calibri"/>
              </w:rPr>
              <w:t>Thomas Campbell, Bill Cornwell, Diane Branham, Ellen Rohan, Kyla Wulff</w:t>
            </w:r>
          </w:p>
          <w:p w:rsidR="71770959" w:rsidP="71770959" w:rsidRDefault="71770959" w14:paraId="217C156C" w14:textId="13E4A4E5">
            <w:pPr>
              <w:spacing w:before="0" w:beforeAutospacing="off" w:after="0" w:afterAutospacing="off" w:line="240" w:lineRule="auto"/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74" w:type="dxa"/>
            <w:tcBorders>
              <w:top w:val="single" w:sz="6"/>
              <w:left w:val="single" w:sz="6"/>
              <w:bottom w:val="double" w:sz="6"/>
              <w:right w:val="single" w:sz="6"/>
            </w:tcBorders>
            <w:tcMar/>
            <w:vAlign w:val="center"/>
          </w:tcPr>
          <w:p w:rsidR="71770959" w:rsidP="71770959" w:rsidRDefault="71770959" w14:paraId="657CE8DC" w14:textId="62DDAED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770959" w:rsidR="71770959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Revision No:</w:t>
            </w:r>
            <w:r w:rsidRPr="71770959" w:rsidR="7177095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857" w:type="dxa"/>
            <w:tcBorders>
              <w:top w:val="single" w:sz="6"/>
              <w:left w:val="single" w:sz="6"/>
              <w:bottom w:val="double" w:sz="6"/>
              <w:right w:val="double" w:sz="6"/>
            </w:tcBorders>
            <w:tcMar/>
            <w:vAlign w:val="center"/>
          </w:tcPr>
          <w:p w:rsidR="71770959" w:rsidP="71770959" w:rsidRDefault="71770959" w14:paraId="0EBA3D5E" w14:textId="6467D05C">
            <w:pPr>
              <w:tabs>
                <w:tab w:val="center" w:leader="none" w:pos="4320"/>
                <w:tab w:val="right" w:leader="none" w:pos="8640"/>
              </w:tabs>
              <w:spacing w:after="0" w:line="240" w:lineRule="auto"/>
              <w:rPr>
                <w:rFonts w:eastAsia="Times New Roman" w:cs="Calibri"/>
              </w:rPr>
            </w:pPr>
            <w:r w:rsidRPr="71770959" w:rsidR="71770959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71770959" w:rsidR="19CF5969">
              <w:rPr>
                <w:rFonts w:eastAsia="Times New Roman" w:cs="Calibri"/>
              </w:rPr>
              <w:t>2</w:t>
            </w:r>
          </w:p>
        </w:tc>
      </w:tr>
      <w:tr w:rsidR="71770959" w:rsidTr="71770959" w14:paraId="08A21D03">
        <w:trPr>
          <w:trHeight w:val="300"/>
        </w:trPr>
        <w:tc>
          <w:tcPr>
            <w:tcW w:w="1500" w:type="dxa"/>
            <w:vMerge/>
            <w:tcBorders>
              <w:top w:sz="0"/>
              <w:left w:val="double" w:sz="0"/>
              <w:bottom w:val="double" w:sz="0"/>
              <w:right w:val="single" w:sz="0"/>
            </w:tcBorders>
            <w:tcMar/>
            <w:vAlign w:val="center"/>
          </w:tcPr>
          <w:p w14:paraId="294E8FB9"/>
        </w:tc>
        <w:tc>
          <w:tcPr>
            <w:tcW w:w="4354" w:type="dxa"/>
            <w:vMerge/>
            <w:tcBorders>
              <w:top w:sz="0"/>
              <w:left w:val="single" w:sz="0"/>
              <w:bottom w:val="double" w:sz="0"/>
              <w:right w:val="single" w:sz="0"/>
            </w:tcBorders>
            <w:tcMar/>
            <w:vAlign w:val="center"/>
          </w:tcPr>
          <w:p w14:paraId="7F0BB801"/>
        </w:tc>
        <w:tc>
          <w:tcPr>
            <w:tcW w:w="2074" w:type="dxa"/>
            <w:tcBorders>
              <w:top w:val="single" w:sz="6"/>
              <w:left w:val="single" w:sz="6"/>
              <w:bottom w:val="double" w:sz="6"/>
              <w:right w:val="single" w:sz="6"/>
            </w:tcBorders>
            <w:tcMar/>
            <w:vAlign w:val="center"/>
          </w:tcPr>
          <w:p w:rsidR="71770959" w:rsidP="71770959" w:rsidRDefault="71770959" w14:paraId="644E2062" w14:textId="3AAFCF0A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770959" w:rsidR="71770959">
              <w:rPr>
                <w:rStyle w:val="normaltextrun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Previous Revision Dates</w:t>
            </w:r>
          </w:p>
        </w:tc>
        <w:tc>
          <w:tcPr>
            <w:tcW w:w="2857" w:type="dxa"/>
            <w:tcBorders>
              <w:top w:val="single" w:sz="6"/>
              <w:left w:val="single" w:sz="6"/>
              <w:bottom w:val="double" w:sz="6"/>
              <w:right w:val="double" w:sz="6"/>
            </w:tcBorders>
            <w:tcMar/>
            <w:vAlign w:val="center"/>
          </w:tcPr>
          <w:p w:rsidR="55172000" w:rsidP="71770959" w:rsidRDefault="55172000" w14:paraId="33088445" w14:textId="065F8676">
            <w:pPr>
              <w:pStyle w:val="Normal"/>
              <w:spacing w:line="240" w:lineRule="auto"/>
              <w:rPr>
                <w:rFonts w:eastAsia="Times New Roman" w:cs="Calibri"/>
              </w:rPr>
            </w:pPr>
            <w:r w:rsidRPr="71770959" w:rsidR="55172000">
              <w:rPr>
                <w:rFonts w:eastAsia="Times New Roman" w:cs="Calibri"/>
              </w:rPr>
              <w:t>9.24.2024</w:t>
            </w:r>
          </w:p>
          <w:p w:rsidR="55172000" w:rsidP="71770959" w:rsidRDefault="55172000" w14:paraId="2D1D3957" w14:textId="17F9636B">
            <w:pPr>
              <w:pStyle w:val="Normal"/>
              <w:spacing w:line="240" w:lineRule="auto"/>
              <w:rPr>
                <w:rFonts w:eastAsia="Times New Roman" w:cs="Calibri"/>
              </w:rPr>
            </w:pPr>
            <w:r w:rsidRPr="71770959" w:rsidR="55172000">
              <w:rPr>
                <w:rFonts w:eastAsia="Times New Roman" w:cs="Calibri"/>
              </w:rPr>
              <w:t>6.5.2025</w:t>
            </w:r>
          </w:p>
        </w:tc>
      </w:tr>
    </w:tbl>
    <w:p w:rsidR="71770959" w:rsidRDefault="71770959" w14:paraId="3F746347" w14:textId="3EB94265"/>
    <w:tbl>
      <w:tblPr>
        <w:tblpPr w:leftFromText="180" w:rightFromText="180" w:vertAnchor="text" w:horzAnchor="margin" w:tblpY="-57"/>
        <w:tblW w:w="10440" w:type="dxa"/>
        <w:tblLook w:val="04A0" w:firstRow="1" w:lastRow="0" w:firstColumn="1" w:lastColumn="0" w:noHBand="0" w:noVBand="1"/>
      </w:tblPr>
      <w:tblGrid>
        <w:gridCol w:w="10440"/>
      </w:tblGrid>
      <w:tr w:rsidRPr="00137F44" w:rsidR="00477519" w:rsidTr="17A8F220" w14:paraId="1FE23222" w14:textId="77777777">
        <w:tc>
          <w:tcPr>
            <w:tcW w:w="10440" w:type="dxa"/>
            <w:tcMar/>
          </w:tcPr>
          <w:p w:rsidRPr="00137F44" w:rsidR="00477519" w:rsidP="6F654F18" w:rsidRDefault="00477519" w14:paraId="5D4AF692" w14:textId="3602F469">
            <w:pPr>
              <w:rPr>
                <w:rFonts w:eastAsiaTheme="minorEastAsia"/>
                <w:b/>
                <w:bCs/>
              </w:rPr>
            </w:pPr>
            <w:r w:rsidRPr="6F654F18">
              <w:rPr>
                <w:rFonts w:eastAsiaTheme="minorEastAsia"/>
                <w:b/>
                <w:bCs/>
              </w:rPr>
              <w:t xml:space="preserve">Tool: Guidelines for </w:t>
            </w:r>
            <w:r w:rsidR="005339D4">
              <w:rPr>
                <w:rFonts w:eastAsiaTheme="minorEastAsia"/>
                <w:b/>
                <w:bCs/>
              </w:rPr>
              <w:t xml:space="preserve">performing research </w:t>
            </w:r>
            <w:r w:rsidRPr="6F654F18">
              <w:rPr>
                <w:rFonts w:eastAsiaTheme="minorEastAsia"/>
                <w:b/>
                <w:bCs/>
              </w:rPr>
              <w:t>procedur</w:t>
            </w:r>
            <w:r w:rsidR="005339D4">
              <w:rPr>
                <w:rFonts w:eastAsiaTheme="minorEastAsia"/>
                <w:b/>
                <w:bCs/>
              </w:rPr>
              <w:t>es</w:t>
            </w:r>
            <w:r w:rsidR="00BF070D">
              <w:rPr>
                <w:rFonts w:eastAsiaTheme="minorEastAsia"/>
                <w:b/>
                <w:bCs/>
              </w:rPr>
              <w:t xml:space="preserve"> </w:t>
            </w:r>
            <w:r w:rsidR="005339D4">
              <w:rPr>
                <w:rFonts w:eastAsiaTheme="minorEastAsia"/>
                <w:b/>
                <w:bCs/>
              </w:rPr>
              <w:t>at</w:t>
            </w:r>
            <w:r w:rsidRPr="6F654F18">
              <w:rPr>
                <w:rFonts w:eastAsiaTheme="minorEastAsia"/>
                <w:b/>
                <w:bCs/>
              </w:rPr>
              <w:t xml:space="preserve"> the</w:t>
            </w:r>
            <w:r w:rsidR="005339D4">
              <w:rPr>
                <w:rFonts w:eastAsiaTheme="minorEastAsia"/>
                <w:b/>
                <w:bCs/>
              </w:rPr>
              <w:t xml:space="preserve"> </w:t>
            </w:r>
            <w:r w:rsidR="00BF070D">
              <w:rPr>
                <w:rFonts w:eastAsiaTheme="minorEastAsia"/>
                <w:b/>
                <w:bCs/>
              </w:rPr>
              <w:t>I</w:t>
            </w:r>
            <w:r w:rsidR="005339D4">
              <w:rPr>
                <w:rFonts w:eastAsiaTheme="minorEastAsia"/>
                <w:b/>
                <w:bCs/>
              </w:rPr>
              <w:t>npatient</w:t>
            </w:r>
            <w:r w:rsidRPr="6F654F18">
              <w:rPr>
                <w:rFonts w:eastAsiaTheme="minorEastAsia"/>
                <w:b/>
                <w:bCs/>
              </w:rPr>
              <w:t xml:space="preserve"> CTRC</w:t>
            </w:r>
          </w:p>
        </w:tc>
      </w:tr>
      <w:tr w:rsidRPr="00137F44" w:rsidR="00477519" w:rsidTr="17A8F220" w14:paraId="6A4897AF" w14:textId="77777777">
        <w:tc>
          <w:tcPr>
            <w:tcW w:w="10440" w:type="dxa"/>
            <w:tcMar/>
          </w:tcPr>
          <w:p w:rsidRPr="00137F44" w:rsidR="00477519" w:rsidP="6F654F18" w:rsidRDefault="00477519" w14:paraId="43A9F5D4" w14:textId="7E2683F4">
            <w:pPr>
              <w:rPr>
                <w:rFonts w:eastAsiaTheme="minorEastAsia"/>
                <w:b/>
                <w:bCs/>
              </w:rPr>
            </w:pPr>
            <w:r w:rsidRPr="6F654F18">
              <w:rPr>
                <w:rFonts w:eastAsiaTheme="minorEastAsia"/>
                <w:b/>
                <w:bCs/>
              </w:rPr>
              <w:t xml:space="preserve">Purpose: Provide </w:t>
            </w:r>
            <w:r w:rsidR="005339D4">
              <w:rPr>
                <w:rFonts w:eastAsiaTheme="minorEastAsia"/>
                <w:b/>
                <w:bCs/>
              </w:rPr>
              <w:t xml:space="preserve">a clear description of the requirements for </w:t>
            </w:r>
            <w:r w:rsidRPr="6F654F18">
              <w:rPr>
                <w:rFonts w:eastAsiaTheme="minorEastAsia"/>
                <w:b/>
                <w:bCs/>
              </w:rPr>
              <w:t>all</w:t>
            </w:r>
            <w:r w:rsidR="005339D4">
              <w:rPr>
                <w:rFonts w:eastAsiaTheme="minorEastAsia"/>
                <w:b/>
                <w:bCs/>
              </w:rPr>
              <w:t xml:space="preserve"> research</w:t>
            </w:r>
            <w:r w:rsidRPr="6F654F18">
              <w:rPr>
                <w:rFonts w:eastAsiaTheme="minorEastAsia"/>
                <w:b/>
                <w:bCs/>
              </w:rPr>
              <w:t xml:space="preserve"> procedures </w:t>
            </w:r>
            <w:r w:rsidR="005339D4">
              <w:rPr>
                <w:rFonts w:eastAsiaTheme="minorEastAsia"/>
                <w:b/>
                <w:bCs/>
              </w:rPr>
              <w:t xml:space="preserve">performed at the </w:t>
            </w:r>
            <w:r w:rsidR="00BF070D">
              <w:rPr>
                <w:rFonts w:eastAsiaTheme="minorEastAsia"/>
                <w:b/>
                <w:bCs/>
              </w:rPr>
              <w:t>I</w:t>
            </w:r>
            <w:r w:rsidR="005339D4">
              <w:rPr>
                <w:rFonts w:eastAsiaTheme="minorEastAsia"/>
                <w:b/>
                <w:bCs/>
              </w:rPr>
              <w:t>npatient</w:t>
            </w:r>
            <w:r w:rsidRPr="6F654F18">
              <w:rPr>
                <w:rFonts w:eastAsiaTheme="minorEastAsia"/>
                <w:b/>
                <w:bCs/>
              </w:rPr>
              <w:t xml:space="preserve"> CTRC</w:t>
            </w:r>
          </w:p>
        </w:tc>
      </w:tr>
      <w:tr w:rsidRPr="00137F44" w:rsidR="00477519" w:rsidTr="17A8F220" w14:paraId="7E48A8BD" w14:textId="77777777">
        <w:tc>
          <w:tcPr>
            <w:tcW w:w="10440" w:type="dxa"/>
            <w:tcMar/>
          </w:tcPr>
          <w:p w:rsidRPr="00137F44" w:rsidR="00477519" w:rsidP="6F654F18" w:rsidRDefault="00477519" w14:paraId="7DF01453" w14:textId="1C812134">
            <w:pPr>
              <w:rPr>
                <w:rFonts w:eastAsiaTheme="minorEastAsia"/>
                <w:b/>
                <w:bCs/>
              </w:rPr>
            </w:pPr>
            <w:r w:rsidRPr="6F654F18">
              <w:rPr>
                <w:rFonts w:eastAsiaTheme="minorEastAsia"/>
                <w:b/>
                <w:bCs/>
              </w:rPr>
              <w:t xml:space="preserve">Audience/User: All </w:t>
            </w:r>
            <w:r w:rsidRPr="6F654F18" w:rsidR="00F6034D">
              <w:rPr>
                <w:rFonts w:eastAsiaTheme="minorEastAsia"/>
                <w:b/>
                <w:bCs/>
              </w:rPr>
              <w:t>Investigators</w:t>
            </w:r>
            <w:r w:rsidRPr="6F654F18">
              <w:rPr>
                <w:rFonts w:eastAsiaTheme="minorEastAsia"/>
                <w:b/>
                <w:bCs/>
              </w:rPr>
              <w:t xml:space="preserve"> </w:t>
            </w:r>
            <w:r w:rsidRPr="6F654F18" w:rsidR="000C3018">
              <w:rPr>
                <w:rFonts w:eastAsiaTheme="minorEastAsia"/>
                <w:b/>
                <w:bCs/>
              </w:rPr>
              <w:t xml:space="preserve">performing </w:t>
            </w:r>
            <w:r w:rsidRPr="6F654F18">
              <w:rPr>
                <w:rFonts w:eastAsiaTheme="minorEastAsia"/>
                <w:b/>
                <w:bCs/>
              </w:rPr>
              <w:t>procedures</w:t>
            </w:r>
          </w:p>
        </w:tc>
      </w:tr>
      <w:tr w:rsidRPr="00137F44" w:rsidR="00477519" w:rsidTr="17A8F220" w14:paraId="391C9232" w14:textId="77777777">
        <w:tc>
          <w:tcPr>
            <w:tcW w:w="10440" w:type="dxa"/>
            <w:tcMar/>
          </w:tcPr>
          <w:p w:rsidR="00477519" w:rsidP="6F654F18" w:rsidRDefault="00477519" w14:paraId="447E4CC7" w14:textId="77777777">
            <w:pPr>
              <w:rPr>
                <w:rFonts w:eastAsiaTheme="minorEastAsia"/>
                <w:b/>
                <w:bCs/>
              </w:rPr>
            </w:pPr>
            <w:r w:rsidRPr="6F654F18">
              <w:rPr>
                <w:rFonts w:eastAsiaTheme="minorEastAsia"/>
                <w:b/>
                <w:bCs/>
              </w:rPr>
              <w:t>Description:</w:t>
            </w:r>
          </w:p>
          <w:p w:rsidRPr="004C72DF" w:rsidR="00477519" w:rsidP="6F654F18" w:rsidRDefault="00477519" w14:paraId="3C543A59" w14:textId="77777777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  <w:u w:val="single"/>
              </w:rPr>
            </w:pPr>
            <w:r w:rsidRPr="6F654F18">
              <w:rPr>
                <w:rFonts w:eastAsiaTheme="minorEastAsia"/>
                <w:b/>
                <w:bCs/>
                <w:color w:val="000000"/>
                <w:sz w:val="24"/>
                <w:szCs w:val="24"/>
                <w:u w:val="single"/>
                <w:bdr w:val="none" w:color="auto" w:sz="0" w:space="0" w:frame="1"/>
              </w:rPr>
              <w:t>CTRC Inpatient Unit on 12 East AIP</w:t>
            </w:r>
          </w:p>
          <w:p w:rsidRPr="008C3861" w:rsidR="00477519" w:rsidP="6F654F18" w:rsidRDefault="00477519" w14:paraId="064F29D3" w14:textId="471731C9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6F654F18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 xml:space="preserve">For </w:t>
            </w:r>
            <w:r w:rsidRPr="6F654F18" w:rsidR="00DA30F2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>all p</w:t>
            </w:r>
            <w:r w:rsidRPr="6F654F18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 xml:space="preserve">rocedures </w:t>
            </w:r>
            <w:r w:rsidRPr="6F654F18" w:rsidR="00DA30F2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 xml:space="preserve">performed </w:t>
            </w:r>
            <w:r w:rsidRPr="6F654F18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>in the CTRC Inpatient Unit</w:t>
            </w:r>
            <w:r w:rsidRPr="6F654F18" w:rsidR="00DA30F2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 xml:space="preserve"> that are more invasive than phlebotomy or peripheral vein catheterization</w:t>
            </w: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:</w:t>
            </w:r>
          </w:p>
          <w:p w:rsidRPr="00380C59" w:rsidR="00380C59" w:rsidP="6F654F18" w:rsidRDefault="001E1C94" w14:paraId="141A2AFD" w14:textId="472E1A90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It is the responsibility of the study </w:t>
            </w:r>
            <w:r w:rsidRPr="6F654F18" w:rsidR="00380C5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Principal Investigator </w:t>
            </w: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to</w:t>
            </w:r>
            <w:r w:rsidRPr="6F654F18" w:rsidR="00380C5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verif</w:t>
            </w: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y</w:t>
            </w:r>
            <w:r w:rsidRPr="6F654F18" w:rsidR="00380C5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that the </w:t>
            </w:r>
            <w:r w:rsidRPr="6F654F18" w:rsidR="6507C04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clinician</w:t>
            </w:r>
            <w:r w:rsidRPr="6F654F18" w:rsidR="00380C5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performing the procedure has the required privileges at University of Colorado Hospital</w:t>
            </w: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for the procedure to be performed prior to </w:t>
            </w:r>
            <w:r w:rsidRPr="6F654F18" w:rsidR="6240B536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performing</w:t>
            </w: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the procedure.</w:t>
            </w:r>
            <w:r w:rsidRPr="6F654F18" w:rsidR="000C630E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Confirmation of privileges can be</w:t>
            </w:r>
            <w:r w:rsidRPr="6F654F18" w:rsidR="005608DC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viewed</w:t>
            </w:r>
            <w:r w:rsidRPr="6F654F18" w:rsidR="000C630E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hyperlink w:history="1" r:id="rId10">
              <w:r w:rsidRPr="6F654F18" w:rsidR="000C630E">
                <w:rPr>
                  <w:rStyle w:val="Hyperlink"/>
                  <w:rFonts w:eastAsiaTheme="minorEastAsia"/>
                  <w:sz w:val="24"/>
                  <w:szCs w:val="24"/>
                  <w:bdr w:val="none" w:color="auto" w:sz="0" w:space="0" w:frame="1"/>
                </w:rPr>
                <w:t>here.</w:t>
              </w:r>
              <w:r w:rsidRPr="6F654F18" w:rsidR="4D30ABF3">
                <w:rPr>
                  <w:rFonts w:eastAsiaTheme="minorEastAsia"/>
                  <w:sz w:val="24"/>
                  <w:szCs w:val="24"/>
                  <w:bdr w:val="none" w:color="auto" w:sz="0" w:space="0" w:frame="1"/>
                </w:rPr>
                <w:t xml:space="preserve"> </w:t>
              </w:r>
            </w:hyperlink>
          </w:p>
          <w:p w:rsidRPr="00360354" w:rsidR="003B2C66" w:rsidP="38EE3B31" w:rsidRDefault="00DA30F2" w14:paraId="2FB08554" w14:textId="7C464AC5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</w:pPr>
            <w:r w:rsidRPr="38EE3B31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A </w:t>
            </w:r>
            <w:proofErr w:type="spellStart"/>
            <w:r w:rsidRPr="00BF070D" w:rsidR="00F6034D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>UCHealth</w:t>
            </w:r>
            <w:proofErr w:type="spellEnd"/>
            <w:r w:rsidRPr="00BF070D" w:rsidR="00F6034D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00BF070D" w:rsidR="00477519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>Procedur</w:t>
            </w:r>
            <w:r w:rsidRPr="00BF070D" w:rsidR="006D7B36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>e</w:t>
            </w:r>
            <w:r w:rsidRPr="00BF070D" w:rsidR="00477519">
              <w:rPr>
                <w:rFonts w:eastAsiaTheme="minorEastAsia"/>
                <w:b/>
                <w:bCs/>
                <w:color w:val="000000"/>
                <w:sz w:val="24"/>
                <w:szCs w:val="24"/>
                <w:bdr w:val="none" w:color="auto" w:sz="0" w:space="0" w:frame="1"/>
              </w:rPr>
              <w:t xml:space="preserve"> Consent</w:t>
            </w:r>
            <w:r w:rsidRPr="38EE3B31" w:rsidR="0047751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 must be explained, signed and dated by the </w:t>
            </w:r>
            <w:r w:rsidRPr="38EE3B31" w:rsidR="186FE807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clinician</w:t>
            </w:r>
            <w:r w:rsidRPr="38EE3B31" w:rsidR="006522D1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performing the procedure</w:t>
            </w:r>
            <w:r w:rsidRPr="38EE3B31" w:rsidR="0047751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, </w:t>
            </w:r>
            <w:r w:rsidRPr="38EE3B31" w:rsidR="003B2C66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on the day of the procedure, </w:t>
            </w:r>
            <w:r w:rsidRPr="38EE3B31" w:rsidR="0047751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prior to the procedure</w:t>
            </w:r>
            <w:r w:rsidRPr="38EE3B31" w:rsidR="003B2C66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being performed</w:t>
            </w:r>
            <w:r w:rsidR="005339D4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.  </w:t>
            </w:r>
            <w:r w:rsidRPr="38EE3B31" w:rsidR="0047751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CTRC Nurses will provide a blank </w:t>
            </w:r>
            <w:proofErr w:type="gramStart"/>
            <w:r w:rsidRPr="38EE3B31" w:rsidR="0047751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procedure</w:t>
            </w:r>
            <w:proofErr w:type="gramEnd"/>
            <w:r w:rsidRPr="38EE3B31" w:rsidR="0047751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consent</w:t>
            </w:r>
            <w:r w:rsidRPr="38EE3B31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form</w:t>
            </w:r>
            <w:r w:rsidRPr="38EE3B31" w:rsidR="0047751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upon request</w:t>
            </w:r>
            <w:r w:rsidRPr="38EE3B31" w:rsidR="006522D1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.</w:t>
            </w:r>
            <w:r w:rsidRPr="38EE3B31" w:rsidR="00F6034D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38EE3B31" w:rsidR="007F073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T</w:t>
            </w:r>
            <w:r w:rsidRPr="38EE3B31" w:rsidR="006522D1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he </w:t>
            </w:r>
            <w:r w:rsidRPr="38EE3B31" w:rsidR="007F073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signed </w:t>
            </w:r>
            <w:r w:rsidRPr="38EE3B31" w:rsidR="006522D1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procedure consent form</w:t>
            </w:r>
            <w:r w:rsidRPr="38EE3B31" w:rsidR="7B395E8B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should be </w:t>
            </w:r>
            <w:r w:rsidR="005339D4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delivered</w:t>
            </w:r>
            <w:r w:rsidRPr="38EE3B31" w:rsidR="005339D4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38EE3B31" w:rsidR="7B395E8B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to the CTRC Inpatient Nursing station and</w:t>
            </w:r>
            <w:r w:rsidRPr="38EE3B31" w:rsidR="006522D1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will be uploaded to the Epic electronic health record (EHR)</w:t>
            </w:r>
            <w:r w:rsidRPr="38EE3B31" w:rsidR="00F6034D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by </w:t>
            </w:r>
            <w:proofErr w:type="spellStart"/>
            <w:r w:rsidRPr="38EE3B31" w:rsidR="00F6034D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UCHealth</w:t>
            </w:r>
            <w:proofErr w:type="spellEnd"/>
            <w:r w:rsidRPr="38EE3B31" w:rsidR="00F6034D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medical records (HIM).</w:t>
            </w:r>
            <w:r w:rsidRPr="38EE3B31" w:rsidR="002750AB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</w:t>
            </w:r>
            <w:r w:rsidR="00BF070D">
              <w:t xml:space="preserve"> </w:t>
            </w:r>
            <w:r w:rsidR="00BF070D">
              <w:t xml:space="preserve">Please note that the </w:t>
            </w:r>
            <w:proofErr w:type="spellStart"/>
            <w:r w:rsidR="00BF070D">
              <w:t>UCHealth</w:t>
            </w:r>
            <w:proofErr w:type="spellEnd"/>
            <w:r w:rsidR="00BF070D">
              <w:t xml:space="preserve"> Procedure Consent is not the same as the consent form approved by the Colorado Multiple Internal Review Board for participation in research.  </w:t>
            </w:r>
            <w:r w:rsidRPr="0076369B" w:rsidR="00BF070D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View the </w:t>
            </w:r>
            <w:proofErr w:type="spellStart"/>
            <w:r w:rsidRPr="0076369B" w:rsidR="00BF070D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UCHealth</w:t>
            </w:r>
            <w:proofErr w:type="spellEnd"/>
            <w:r w:rsidRPr="0076369B" w:rsidR="00BF070D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procedure consent policy </w:t>
            </w:r>
            <w:hyperlink w:history="1" r:id="rId11">
              <w:r w:rsidRPr="0076369B" w:rsidR="00BF070D">
                <w:rPr>
                  <w:rStyle w:val="Hyperlink"/>
                  <w:rFonts w:eastAsiaTheme="minorEastAsia"/>
                  <w:sz w:val="24"/>
                  <w:szCs w:val="24"/>
                  <w:bdr w:val="none" w:color="auto" w:sz="0" w:space="0" w:frame="1"/>
                </w:rPr>
                <w:t>here.</w:t>
              </w:r>
            </w:hyperlink>
          </w:p>
          <w:p w:rsidRPr="00360354" w:rsidR="003B2C66" w:rsidP="6F654F18" w:rsidRDefault="003B2C66" w14:paraId="14ADD335" w14:textId="06CF9E06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The </w:t>
            </w:r>
            <w:r w:rsidRPr="6F654F18" w:rsidR="742B6D57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clinician</w:t>
            </w: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 performing the procedure will conduct a </w:t>
            </w:r>
            <w:r w:rsidRPr="6F654F18" w:rsidR="003E4FF9">
              <w:rPr>
                <w:rFonts w:eastAsiaTheme="minorEastAsia"/>
                <w:color w:val="000000" w:themeColor="text1"/>
                <w:sz w:val="24"/>
                <w:szCs w:val="24"/>
              </w:rPr>
              <w:t>Time-Out</w:t>
            </w:r>
            <w:r w:rsidRPr="6F654F18" w:rsidR="00F3112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before starting the procedure</w:t>
            </w:r>
            <w:r w:rsidRPr="6F654F18" w:rsidR="002750AB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.</w:t>
            </w:r>
            <w:r w:rsidRPr="6F654F18" w:rsidR="003E4FF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6F654F18" w:rsidR="002D5C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View the </w:t>
            </w:r>
            <w:proofErr w:type="spellStart"/>
            <w:r w:rsidRPr="6F654F18" w:rsidR="002D5CD7">
              <w:rPr>
                <w:rFonts w:eastAsiaTheme="minorEastAsia"/>
                <w:color w:val="000000" w:themeColor="text1"/>
                <w:sz w:val="24"/>
                <w:szCs w:val="24"/>
              </w:rPr>
              <w:t>UCHealth</w:t>
            </w:r>
            <w:proofErr w:type="spellEnd"/>
            <w:r w:rsidRPr="6F654F18" w:rsidR="002D5C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Lippincott guidelines for Time-Outs </w:t>
            </w:r>
            <w:hyperlink w:history="1" r:id="rId12">
              <w:r w:rsidRPr="6F654F18" w:rsidR="002D5CD7">
                <w:rPr>
                  <w:rStyle w:val="Hyperlink"/>
                  <w:rFonts w:eastAsiaTheme="minorEastAsia"/>
                  <w:sz w:val="24"/>
                  <w:szCs w:val="24"/>
                </w:rPr>
                <w:t>here</w:t>
              </w:r>
            </w:hyperlink>
            <w:r w:rsidRPr="6F654F18" w:rsidR="002D5CD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. </w:t>
            </w: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 xml:space="preserve">During the </w:t>
            </w:r>
            <w:r w:rsidRPr="6F654F18" w:rsidR="00380C59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Time-Out</w:t>
            </w:r>
            <w:r w:rsidRPr="6F654F18">
              <w:rPr>
                <w:rFonts w:eastAsiaTheme="minorEastAsia"/>
                <w:color w:val="000000"/>
                <w:sz w:val="24"/>
                <w:szCs w:val="24"/>
                <w:bdr w:val="none" w:color="auto" w:sz="0" w:space="0" w:frame="1"/>
              </w:rPr>
              <w:t>, the following items will be reviewed:</w:t>
            </w:r>
          </w:p>
          <w:p w:rsidRPr="002D5CD7" w:rsidR="00360354" w:rsidP="6F654F18" w:rsidRDefault="003B2C66" w14:paraId="3FD9FF2F" w14:textId="26620D77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Completion of </w:t>
            </w:r>
            <w:proofErr w:type="gramStart"/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procedure consent</w:t>
            </w:r>
            <w:proofErr w:type="gramEnd"/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 verified</w:t>
            </w:r>
          </w:p>
          <w:p w:rsidR="002D5CD7" w:rsidP="6F654F18" w:rsidRDefault="002D5CD7" w14:paraId="0100FAA4" w14:textId="16CB1E7D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Introduction of all Team Members</w:t>
            </w:r>
          </w:p>
          <w:p w:rsidR="002D5CD7" w:rsidP="6F654F18" w:rsidRDefault="002D5CD7" w14:paraId="06061859" w14:textId="3C98884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2 patient identifiers</w:t>
            </w:r>
          </w:p>
          <w:p w:rsidR="002D5CD7" w:rsidP="6F654F18" w:rsidRDefault="002D5CD7" w14:paraId="76CDA0F4" w14:textId="6AF52AF7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Confirmation of correct procedure and </w:t>
            </w:r>
            <w:proofErr w:type="gramStart"/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site(</w:t>
            </w:r>
            <w:proofErr w:type="gramEnd"/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if applicable)</w:t>
            </w:r>
          </w:p>
          <w:p w:rsidR="002D5CD7" w:rsidP="6F654F18" w:rsidRDefault="002D5CD7" w14:paraId="371A4CEB" w14:textId="09112C6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Safety concerns</w:t>
            </w:r>
          </w:p>
          <w:p w:rsidRPr="002D5CD7" w:rsidR="002D5CD7" w:rsidP="6F654F18" w:rsidRDefault="78787905" w14:paraId="1F1D73F5" w14:textId="01119906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5EE5618B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Notate Time of </w:t>
            </w:r>
            <w:proofErr w:type="gramStart"/>
            <w:r w:rsidRPr="5EE5618B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completion</w:t>
            </w:r>
            <w:proofErr w:type="gramEnd"/>
            <w:r w:rsidRPr="5EE5618B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 of Time-Out</w:t>
            </w:r>
          </w:p>
          <w:p w:rsidRPr="00BF070D" w:rsidR="4BBB8511" w:rsidP="17A8F220" w:rsidRDefault="4BBB8511" w14:paraId="2D22FC51" w14:textId="523F59A9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" w:eastAsiaTheme="minorEastAsia"/>
                <w:b w:val="1"/>
                <w:bCs w:val="1"/>
                <w:sz w:val="24"/>
                <w:szCs w:val="24"/>
              </w:rPr>
            </w:pPr>
            <w:r w:rsidRPr="17A8F220" w:rsidR="4BBB8511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 xml:space="preserve">Per </w:t>
            </w:r>
            <w:r w:rsidRPr="17A8F220" w:rsidR="4BBB8511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>UCHealth</w:t>
            </w:r>
            <w:r w:rsidRPr="17A8F220" w:rsidR="4BBB8511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 xml:space="preserve"> </w:t>
            </w:r>
            <w:r w:rsidRPr="17A8F220" w:rsidR="1BB1E60F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>requirements as of August 1</w:t>
            </w:r>
            <w:r w:rsidRPr="17A8F220" w:rsidR="1BB1E60F">
              <w:rPr>
                <w:rFonts w:eastAsia="" w:eastAsiaTheme="minorEastAsia"/>
                <w:b w:val="1"/>
                <w:bCs w:val="1"/>
                <w:sz w:val="24"/>
                <w:szCs w:val="24"/>
                <w:vertAlign w:val="superscript"/>
              </w:rPr>
              <w:t>st</w:t>
            </w:r>
            <w:r w:rsidRPr="17A8F220" w:rsidR="1BB1E60F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>, 2025</w:t>
            </w:r>
            <w:r w:rsidRPr="17A8F220" w:rsidR="4BBB8511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 xml:space="preserve">, the Time-Out must be conducted with a </w:t>
            </w:r>
            <w:r w:rsidRPr="17A8F220" w:rsidR="4BBB8511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>UCHealth</w:t>
            </w:r>
            <w:r w:rsidRPr="17A8F220" w:rsidR="4BBB8511">
              <w:rPr>
                <w:rFonts w:eastAsia="" w:eastAsiaTheme="minorEastAsia"/>
                <w:b w:val="1"/>
                <w:bCs w:val="1"/>
                <w:sz w:val="24"/>
                <w:szCs w:val="24"/>
              </w:rPr>
              <w:t xml:space="preserve"> RN present. The RN will also record all details of the consent, time-out, and procedure in EPIC.</w:t>
            </w:r>
          </w:p>
          <w:p w:rsidR="7954BDAE" w:rsidP="6F654F18" w:rsidRDefault="7954BDAE" w14:paraId="7F854746" w14:textId="4F67D907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</w:rPr>
              <w:t xml:space="preserve">Non-operative and other low-risk procedures involving light or no sedation do not require a complete H&amp;P, but at minimum, require a procedural note. </w:t>
            </w:r>
            <w:r w:rsidRPr="6F654F18" w:rsidR="4913FAB7">
              <w:rPr>
                <w:rFonts w:eastAsiaTheme="minorEastAsia"/>
                <w:sz w:val="24"/>
                <w:szCs w:val="24"/>
              </w:rPr>
              <w:t xml:space="preserve"> </w:t>
            </w:r>
            <w:r w:rsidRPr="6F654F18" w:rsidR="4323AD55">
              <w:rPr>
                <w:rFonts w:eastAsiaTheme="minorEastAsia"/>
                <w:sz w:val="24"/>
                <w:szCs w:val="24"/>
              </w:rPr>
              <w:t>However, i</w:t>
            </w:r>
            <w:r w:rsidRPr="6F654F18" w:rsidR="21F4C302">
              <w:rPr>
                <w:rFonts w:eastAsiaTheme="minorEastAsia"/>
                <w:sz w:val="24"/>
                <w:szCs w:val="24"/>
              </w:rPr>
              <w:t xml:space="preserve">t is recommended to complete an H&amp;P or to document relevant exam findings in the procedural </w:t>
            </w:r>
            <w:r w:rsidRPr="6F654F18" w:rsidR="04D34478">
              <w:rPr>
                <w:rFonts w:eastAsiaTheme="minorEastAsia"/>
                <w:sz w:val="24"/>
                <w:szCs w:val="24"/>
              </w:rPr>
              <w:t>note.</w:t>
            </w:r>
            <w:r w:rsidRPr="6F654F18" w:rsidR="7F40CB13">
              <w:rPr>
                <w:rFonts w:eastAsiaTheme="minorEastAsia"/>
                <w:sz w:val="24"/>
                <w:szCs w:val="24"/>
              </w:rPr>
              <w:t xml:space="preserve"> </w:t>
            </w:r>
            <w:r w:rsidRPr="6F654F18" w:rsidR="0645A813">
              <w:rPr>
                <w:rFonts w:eastAsiaTheme="minorEastAsia"/>
                <w:sz w:val="24"/>
                <w:szCs w:val="24"/>
              </w:rPr>
              <w:t>Based on assessment of the study procedural risk, the CTRC Medical Directors may require a pre-procedural H&amp;P.</w:t>
            </w:r>
          </w:p>
          <w:p w:rsidR="60A63C56" w:rsidP="6F654F18" w:rsidRDefault="60A63C56" w14:paraId="2F3EC1F4" w14:textId="2AF8C08A">
            <w:pPr>
              <w:pStyle w:val="ListParagraph"/>
              <w:numPr>
                <w:ilvl w:val="1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</w:rPr>
              <w:lastRenderedPageBreak/>
              <w:t xml:space="preserve">Examples of low-risk </w:t>
            </w:r>
            <w:r w:rsidR="00345B40">
              <w:rPr>
                <w:rFonts w:eastAsiaTheme="minorEastAsia"/>
                <w:sz w:val="24"/>
                <w:szCs w:val="24"/>
              </w:rPr>
              <w:t xml:space="preserve">invasive </w:t>
            </w:r>
            <w:r w:rsidRPr="6F654F18">
              <w:rPr>
                <w:rFonts w:eastAsiaTheme="minorEastAsia"/>
                <w:sz w:val="24"/>
                <w:szCs w:val="24"/>
              </w:rPr>
              <w:t xml:space="preserve">procedures include but are not limited </w:t>
            </w:r>
            <w:proofErr w:type="gramStart"/>
            <w:r w:rsidRPr="6F654F18">
              <w:rPr>
                <w:rFonts w:eastAsiaTheme="minorEastAsia"/>
                <w:sz w:val="24"/>
                <w:szCs w:val="24"/>
              </w:rPr>
              <w:t>to:</w:t>
            </w:r>
            <w:proofErr w:type="gramEnd"/>
            <w:r w:rsidRPr="6F654F18">
              <w:rPr>
                <w:rFonts w:eastAsiaTheme="minorEastAsia"/>
                <w:sz w:val="24"/>
                <w:szCs w:val="24"/>
              </w:rPr>
              <w:t xml:space="preserve"> lumbar puncture or </w:t>
            </w:r>
            <w:r w:rsidR="00345B40">
              <w:rPr>
                <w:rFonts w:eastAsiaTheme="minorEastAsia"/>
                <w:sz w:val="24"/>
                <w:szCs w:val="24"/>
              </w:rPr>
              <w:t xml:space="preserve">percutaneous </w:t>
            </w:r>
            <w:r w:rsidRPr="6F654F18">
              <w:rPr>
                <w:rFonts w:eastAsiaTheme="minorEastAsia"/>
                <w:sz w:val="24"/>
                <w:szCs w:val="24"/>
              </w:rPr>
              <w:t>biopsy (skin, muscle, fat).</w:t>
            </w:r>
          </w:p>
          <w:p w:rsidR="3B4CEEBD" w:rsidP="6F654F18" w:rsidRDefault="3B4CEEBD" w14:paraId="5BF269B4" w14:textId="1859646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</w:rPr>
              <w:t xml:space="preserve">For those procedures requiring an H&amp;P, a medical history and examination that was completed within 30 days prior to inpatient/observation admission may be accepted, but this must have an update performed by the study clinician within 24 hours after admission or registration but prior to a procedure requiring an H&amp;P. Review the policy for History and Physical Examination </w:t>
            </w:r>
            <w:hyperlink r:id="rId13">
              <w:r w:rsidRPr="6F654F18">
                <w:rPr>
                  <w:rStyle w:val="Hyperlink"/>
                  <w:rFonts w:eastAsiaTheme="minorEastAsia"/>
                  <w:color w:val="auto"/>
                  <w:sz w:val="24"/>
                  <w:szCs w:val="24"/>
                </w:rPr>
                <w:t>here.</w:t>
              </w:r>
            </w:hyperlink>
            <w:r w:rsidRPr="6F654F18" w:rsidR="7E3F997F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Pr="00DD3DE6" w:rsidR="00DA30F2" w:rsidP="5140E522" w:rsidRDefault="00DA30F2" w14:paraId="5D8DFFFB" w14:textId="4CC861F3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" w:eastAsiaTheme="minorEastAsia"/>
                <w:sz w:val="24"/>
                <w:szCs w:val="24"/>
              </w:rPr>
            </w:pPr>
            <w:r w:rsidRPr="5140E522" w:rsidR="00DA30F2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>A</w:t>
            </w:r>
            <w:r w:rsidRPr="5140E522" w:rsidR="00345B40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>fter the procedure is completed, a</w:t>
            </w:r>
            <w:r w:rsidRPr="5140E522" w:rsidR="00DA30F2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5140E522" w:rsidR="001E1C94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>p</w:t>
            </w:r>
            <w:r w:rsidRPr="5140E522" w:rsidR="00DA30F2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rocedure </w:t>
            </w:r>
            <w:r w:rsidRPr="5140E522" w:rsidR="001E1C94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>n</w:t>
            </w:r>
            <w:r w:rsidRPr="5140E522" w:rsidR="00DA30F2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>ote</w:t>
            </w:r>
            <w:r w:rsidRPr="5140E522" w:rsidR="001E1C94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5140E522" w:rsidR="007811AF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>must</w:t>
            </w:r>
            <w:r w:rsidRPr="5140E522" w:rsidR="007811AF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 </w:t>
            </w:r>
            <w:r w:rsidRPr="5140E522" w:rsidR="001E1C94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>be completed by the provider performing the procedure</w:t>
            </w:r>
            <w:r w:rsidRPr="5140E522" w:rsidR="00BF070D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 within 24 hours</w:t>
            </w:r>
            <w:r w:rsidRPr="5140E522" w:rsidR="6B9359ED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 of performing the procedure</w:t>
            </w:r>
            <w:r w:rsidRPr="5140E522" w:rsidR="001E1C94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>. The procedure note will</w:t>
            </w:r>
            <w:r w:rsidRPr="5140E522" w:rsidR="00DA30F2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 include the information below</w:t>
            </w:r>
            <w:r w:rsidRPr="5140E522" w:rsidR="001E1C94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 and</w:t>
            </w:r>
            <w:r w:rsidRPr="5140E522" w:rsidR="00DA30F2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 must be placed in the Epic EHR</w:t>
            </w:r>
            <w:r w:rsidRPr="5140E522" w:rsidR="003B2C66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 xml:space="preserve"> on the day the procedure was performed</w:t>
            </w:r>
            <w:r w:rsidRPr="5140E522" w:rsidR="00DA30F2">
              <w:rPr>
                <w:rFonts w:eastAsia="" w:eastAsiaTheme="minorEastAsia"/>
                <w:sz w:val="24"/>
                <w:szCs w:val="24"/>
                <w:bdr w:val="none" w:color="auto" w:sz="0" w:space="0" w:frame="1"/>
              </w:rPr>
              <w:t>:</w:t>
            </w:r>
          </w:p>
          <w:p w:rsidR="003B2C66" w:rsidP="6F654F18" w:rsidRDefault="00DA30F2" w14:paraId="31499ACD" w14:textId="2122BB63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Date and </w:t>
            </w:r>
            <w:r w:rsidRPr="6F654F18" w:rsidR="00A32DD7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t</w:t>
            </w: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ime of the procedure</w:t>
            </w:r>
          </w:p>
          <w:p w:rsidR="003B2C66" w:rsidP="6F654F18" w:rsidRDefault="003166CE" w14:paraId="47B2DDB6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COMIRB protocol number and study title</w:t>
            </w:r>
          </w:p>
          <w:p w:rsidRPr="00B96054" w:rsidR="003B2C66" w:rsidP="6F654F18" w:rsidRDefault="003166CE" w14:paraId="19B39220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Reason for the procedure: Research study</w:t>
            </w:r>
          </w:p>
          <w:p w:rsidRPr="00B96054" w:rsidR="003B2C66" w:rsidP="6F654F18" w:rsidRDefault="00DA30F2" w14:paraId="49A73B94" w14:textId="5F526C23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Documentation of “Pause for Safety”</w:t>
            </w:r>
            <w:r w:rsidRPr="6F654F18" w:rsidR="00F6034D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 or Time-Out</w:t>
            </w: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 including time and those present</w:t>
            </w:r>
          </w:p>
          <w:p w:rsidRPr="00B96054" w:rsidR="003B2C66" w:rsidP="6F654F18" w:rsidRDefault="00DA30F2" w14:paraId="3F960F75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Assessment of the site (before and after the procedure)</w:t>
            </w:r>
          </w:p>
          <w:p w:rsidRPr="00B96054" w:rsidR="003B2C66" w:rsidP="6F654F18" w:rsidRDefault="00DA30F2" w14:paraId="3A217106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Medications administered (name, strength, dose, route of administration)</w:t>
            </w:r>
          </w:p>
          <w:p w:rsidRPr="00B96054" w:rsidR="003B2C66" w:rsidP="6F654F18" w:rsidRDefault="00DA30F2" w14:paraId="4CF2B7B5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Method of procedure</w:t>
            </w:r>
          </w:p>
          <w:p w:rsidRPr="00B96054" w:rsidR="003B2C66" w:rsidP="6F654F18" w:rsidRDefault="00DA30F2" w14:paraId="5B818AD8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Type and number of sutures (if any)</w:t>
            </w:r>
          </w:p>
          <w:p w:rsidR="003B2C66" w:rsidP="6F654F18" w:rsidRDefault="00DA30F2" w14:paraId="335C7BD3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Dressing applied</w:t>
            </w:r>
          </w:p>
          <w:p w:rsidRPr="00B96054" w:rsidR="003B2C66" w:rsidP="6F654F18" w:rsidRDefault="00DA30F2" w14:paraId="6952B246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Tolerance of the procedure</w:t>
            </w:r>
          </w:p>
          <w:p w:rsidRPr="00B96054" w:rsidR="003B2C66" w:rsidP="6F654F18" w:rsidRDefault="00DA30F2" w14:paraId="74666353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Unexpected outcomes (such as excessive bleeding, pain or a   hypersensitivity reaction)</w:t>
            </w:r>
          </w:p>
          <w:p w:rsidR="003B2C66" w:rsidP="6F654F18" w:rsidRDefault="00DA30F2" w14:paraId="4BCA5852" w14:textId="7777777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Interventions and response to interventions</w:t>
            </w:r>
          </w:p>
          <w:p w:rsidR="003B2C66" w:rsidP="6F654F18" w:rsidRDefault="00556D9A" w14:paraId="5F03870A" w14:textId="3ABD3817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Instructions </w:t>
            </w:r>
            <w:r w:rsidRPr="6F654F18" w:rsidR="00DA30F2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provided </w:t>
            </w:r>
            <w:proofErr w:type="gramStart"/>
            <w:r w:rsidRPr="6F654F18" w:rsidR="00DA30F2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to</w:t>
            </w:r>
            <w:proofErr w:type="gramEnd"/>
            <w:r w:rsidRPr="6F654F18" w:rsidR="00DA30F2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 the participant</w:t>
            </w:r>
          </w:p>
          <w:p w:rsidRPr="00746174" w:rsidR="0613244A" w:rsidP="6F654F18" w:rsidRDefault="003B2C66" w14:paraId="1440A760" w14:textId="31B42136">
            <w:pPr>
              <w:pStyle w:val="ListParagraph"/>
              <w:numPr>
                <w:ilvl w:val="3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 w:rsidRPr="6F654F18"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>Samples collected</w:t>
            </w:r>
          </w:p>
          <w:p w:rsidRPr="00176567" w:rsidR="00BF070D" w:rsidP="00BF070D" w:rsidRDefault="00BF070D" w14:paraId="04DD6F73" w14:textId="77777777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sz w:val="24"/>
                <w:szCs w:val="24"/>
                <w:bdr w:val="none" w:color="auto" w:sz="0" w:space="0" w:frame="1"/>
              </w:rPr>
            </w:pPr>
            <w:r>
              <w:rPr>
                <w:rFonts w:eastAsiaTheme="minorEastAsia"/>
                <w:sz w:val="24"/>
                <w:szCs w:val="24"/>
                <w:bdr w:val="none" w:color="auto" w:sz="0" w:space="0" w:frame="1"/>
              </w:rPr>
              <w:t xml:space="preserve">Hospital-approved procedure note templates are available in EPIC and may be used for procedures conducted at the inpatient CTRC.  </w:t>
            </w:r>
          </w:p>
          <w:p w:rsidR="0613244A" w:rsidP="6F654F18" w:rsidRDefault="0613244A" w14:paraId="2CF6A821" w14:textId="566D9D79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477519" w:rsidP="6F654F18" w:rsidRDefault="00477519" w14:paraId="6C2364E9" w14:textId="08C9D850">
            <w:pPr>
              <w:shd w:val="clear" w:color="auto" w:fill="FFFFFF" w:themeFill="background1"/>
              <w:spacing w:after="0" w:line="240" w:lineRule="auto"/>
              <w:ind w:left="2160" w:hanging="2160"/>
              <w:rPr>
                <w:rFonts w:eastAsiaTheme="minorEastAsia"/>
                <w:i/>
                <w:iCs/>
                <w:color w:val="000000"/>
                <w:bdr w:val="none" w:color="auto" w:sz="0" w:space="0" w:frame="1"/>
              </w:rPr>
            </w:pPr>
            <w:r w:rsidRPr="6F654F18">
              <w:rPr>
                <w:rFonts w:eastAsiaTheme="minorEastAsia"/>
                <w:i/>
                <w:iCs/>
                <w:color w:val="000000"/>
                <w:bdr w:val="none" w:color="auto" w:sz="0" w:space="0" w:frame="1"/>
              </w:rPr>
              <w:t xml:space="preserve">Refer to </w:t>
            </w:r>
            <w:hyperlink w:history="1" r:id="rId14">
              <w:proofErr w:type="spellStart"/>
              <w:r w:rsidRPr="6F654F18">
                <w:rPr>
                  <w:rStyle w:val="Hyperlink"/>
                  <w:rFonts w:eastAsiaTheme="minorEastAsia"/>
                  <w:i/>
                  <w:iCs/>
                  <w:bdr w:val="none" w:color="auto" w:sz="0" w:space="0" w:frame="1"/>
                </w:rPr>
                <w:t>UCHealth</w:t>
              </w:r>
              <w:proofErr w:type="spellEnd"/>
              <w:r w:rsidRPr="6F654F18">
                <w:rPr>
                  <w:rStyle w:val="Hyperlink"/>
                  <w:rFonts w:eastAsiaTheme="minorEastAsia"/>
                  <w:i/>
                  <w:iCs/>
                  <w:bdr w:val="none" w:color="auto" w:sz="0" w:space="0" w:frame="1"/>
                </w:rPr>
                <w:t xml:space="preserve"> policy</w:t>
              </w:r>
            </w:hyperlink>
            <w:r w:rsidRPr="6F654F18">
              <w:rPr>
                <w:rFonts w:eastAsiaTheme="minorEastAsia"/>
                <w:i/>
                <w:iCs/>
                <w:color w:val="000000"/>
                <w:bdr w:val="none" w:color="auto" w:sz="0" w:space="0" w:frame="1"/>
              </w:rPr>
              <w:t xml:space="preserve"> for additional guidance</w:t>
            </w:r>
          </w:p>
          <w:p w:rsidRPr="00137F44" w:rsidR="00477519" w:rsidP="6F654F18" w:rsidRDefault="00477519" w14:paraId="24E324D9" w14:textId="77FF9733">
            <w:pPr>
              <w:shd w:val="clear" w:color="auto" w:fill="FFFFFF" w:themeFill="background1"/>
              <w:spacing w:after="0" w:line="240" w:lineRule="auto"/>
              <w:rPr>
                <w:rFonts w:eastAsiaTheme="minorEastAsia"/>
                <w:b/>
                <w:bCs/>
              </w:rPr>
            </w:pPr>
            <w:r w:rsidRPr="6F654F18">
              <w:rPr>
                <w:rFonts w:eastAsiaTheme="minorEastAsia"/>
                <w:b/>
                <w:bCs/>
              </w:rPr>
              <w:t>Applicable Protocols: All</w:t>
            </w:r>
          </w:p>
          <w:p w:rsidRPr="00137F44" w:rsidR="00477519" w:rsidP="6F654F18" w:rsidRDefault="00477519" w14:paraId="39096961" w14:textId="77777777">
            <w:pPr>
              <w:rPr>
                <w:rFonts w:eastAsiaTheme="minorEastAsia"/>
                <w:b/>
                <w:bCs/>
              </w:rPr>
            </w:pPr>
            <w:r w:rsidRPr="6F654F18">
              <w:rPr>
                <w:rFonts w:eastAsiaTheme="minorEastAsia"/>
                <w:b/>
                <w:bCs/>
              </w:rPr>
              <w:t>Timing: As soon as reviewed and approved</w:t>
            </w:r>
          </w:p>
        </w:tc>
      </w:tr>
      <w:tr w:rsidRPr="00137F44" w:rsidR="00477519" w:rsidTr="17A8F220" w14:paraId="4FBFFFD1" w14:textId="77777777">
        <w:tc>
          <w:tcPr>
            <w:tcW w:w="10440" w:type="dxa"/>
            <w:tcMar/>
          </w:tcPr>
          <w:p w:rsidR="00DD3DE6" w:rsidP="00477519" w:rsidRDefault="00477519" w14:paraId="7347F381" w14:textId="77777777">
            <w:pPr>
              <w:rPr>
                <w:b/>
              </w:rPr>
            </w:pPr>
            <w:r w:rsidRPr="00137F44">
              <w:rPr>
                <w:b/>
              </w:rPr>
              <w:lastRenderedPageBreak/>
              <w:t>Best Practice Recommendations:</w:t>
            </w:r>
            <w:r>
              <w:rPr>
                <w:b/>
              </w:rPr>
              <w:t xml:space="preserve"> Utilize policy for all procedures conducted on the CTRC Inpatient Unit. </w:t>
            </w:r>
          </w:p>
          <w:p w:rsidR="00477519" w:rsidP="00477519" w:rsidRDefault="00477519" w14:paraId="301A97E4" w14:textId="77777777">
            <w:pPr>
              <w:rPr>
                <w:b/>
              </w:rPr>
            </w:pPr>
            <w:r>
              <w:rPr>
                <w:b/>
              </w:rPr>
              <w:t xml:space="preserve">Refer to </w:t>
            </w:r>
            <w:proofErr w:type="spellStart"/>
            <w:r>
              <w:rPr>
                <w:b/>
              </w:rPr>
              <w:t>UCHealth</w:t>
            </w:r>
            <w:proofErr w:type="spellEnd"/>
            <w:r>
              <w:rPr>
                <w:b/>
              </w:rPr>
              <w:t xml:space="preserve"> Policy for additional guidance</w:t>
            </w:r>
            <w:r w:rsidR="00A74A31">
              <w:rPr>
                <w:b/>
              </w:rPr>
              <w:t xml:space="preserve">. </w:t>
            </w:r>
          </w:p>
          <w:p w:rsidRPr="00137F44" w:rsidR="00DD3DE6" w:rsidP="00746174" w:rsidRDefault="00DD3DE6" w14:paraId="1821477B" w14:textId="54E39380">
            <w:pPr>
              <w:rPr>
                <w:b/>
              </w:rPr>
            </w:pPr>
            <w:r>
              <w:rPr>
                <w:b/>
              </w:rPr>
              <w:t xml:space="preserve">Revise and Review SOP </w:t>
            </w:r>
            <w:r w:rsidR="00746174">
              <w:rPr>
                <w:b/>
              </w:rPr>
              <w:t xml:space="preserve">biennially </w:t>
            </w:r>
          </w:p>
        </w:tc>
      </w:tr>
    </w:tbl>
    <w:p w:rsidRPr="00C21C7B" w:rsidR="00C21C7B" w:rsidP="00C21C7B" w:rsidRDefault="00C21C7B" w14:paraId="5A231DE4" w14:textId="77777777"/>
    <w:p w:rsidRPr="00C21C7B" w:rsidR="00C21C7B" w:rsidP="00C21C7B" w:rsidRDefault="00C21C7B" w14:paraId="4B40A59F" w14:textId="77777777"/>
    <w:p w:rsidRPr="00C21C7B" w:rsidR="0098131E" w:rsidP="00C21C7B" w:rsidRDefault="0098131E" w14:paraId="16AA1261" w14:textId="103E90AB">
      <w:pPr>
        <w:jc w:val="right"/>
      </w:pPr>
    </w:p>
    <w:sectPr w:rsidRPr="00C21C7B" w:rsidR="0098131E" w:rsidSect="003F2CE3">
      <w:headerReference w:type="default" r:id="rId15"/>
      <w:footerReference w:type="default" r:id="rId16"/>
      <w:pgSz w:w="12240" w:h="15840" w:orient="portrait"/>
      <w:pgMar w:top="144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5E61" w:rsidP="00110676" w:rsidRDefault="00FF5E61" w14:paraId="06159937" w14:textId="77777777">
      <w:pPr>
        <w:spacing w:after="0" w:line="240" w:lineRule="auto"/>
      </w:pPr>
      <w:r>
        <w:separator/>
      </w:r>
    </w:p>
  </w:endnote>
  <w:endnote w:type="continuationSeparator" w:id="0">
    <w:p w:rsidR="00FF5E61" w:rsidP="00110676" w:rsidRDefault="00FF5E61" w14:paraId="6B47E0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2CDEFED" w:rsidP="02CDEFED" w:rsidRDefault="02CDEFED" w14:paraId="407F2899" w14:textId="4DEBC61D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Pr="00585604" w:rsidR="00110676" w:rsidP="71770959" w:rsidRDefault="00110676" w14:paraId="56095784" w14:textId="58520187">
    <w:pPr/>
    <w:r w:rsidRPr="00585604">
      <w:ptab w:alignment="center" w:relativeTo="margin" w:leader="none"/>
    </w:r>
    <w:r w:rsidRPr="00585604">
      <w:ptab w:alignment="right" w:relativeTo="margin" w:leader="none"/>
    </w:r>
    <w:r w:rsidR="71770959">
      <w:drawing>
        <wp:inline wp14:editId="43E0A376" wp14:anchorId="4488EBCC">
          <wp:extent cx="6858956" cy="1162212"/>
          <wp:effectExtent l="0" t="0" r="0" b="0"/>
          <wp:docPr id="993009252" name="" descr="Banner3bar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94af18d6d40419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956" cy="116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5E61" w:rsidP="00110676" w:rsidRDefault="00FF5E61" w14:paraId="66992DC7" w14:textId="77777777">
      <w:pPr>
        <w:spacing w:after="0" w:line="240" w:lineRule="auto"/>
      </w:pPr>
      <w:r>
        <w:separator/>
      </w:r>
    </w:p>
  </w:footnote>
  <w:footnote w:type="continuationSeparator" w:id="0">
    <w:p w:rsidR="00FF5E61" w:rsidP="00110676" w:rsidRDefault="00FF5E61" w14:paraId="0B3DC5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46174" w:rsidP="71770959" w:rsidRDefault="00746174" w14:paraId="24A85B8A" w14:textId="6A274928">
    <w:pPr/>
    <w:r w:rsidR="71770959">
      <w:drawing>
        <wp:inline wp14:editId="7251E10B" wp14:anchorId="60BE6833">
          <wp:extent cx="6878012" cy="1362265"/>
          <wp:effectExtent l="0" t="0" r="0" b="0"/>
          <wp:docPr id="2081172261" name="" descr="Banner without UCD 300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f05bb68640a4f3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8012" cy="136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D2F1A" w:rsidR="002D2F1A" w:rsidRDefault="005339D4" w14:paraId="56095780" w14:textId="0D67DB7D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ADULT </w:t>
    </w:r>
    <w:r w:rsidR="002D2F1A">
      <w:rPr>
        <w:b/>
        <w:sz w:val="32"/>
        <w:szCs w:val="32"/>
      </w:rPr>
      <w:t xml:space="preserve">CTRC </w:t>
    </w:r>
    <w:r w:rsidRPr="002D2F1A" w:rsidR="002D2F1A">
      <w:rPr>
        <w:b/>
        <w:sz w:val="32"/>
        <w:szCs w:val="32"/>
      </w:rPr>
      <w:t>STANDARD OPERATING PROCEDURE-</w:t>
    </w:r>
  </w:p>
  <w:p w:rsidRPr="00BF070D" w:rsidR="00110676" w:rsidRDefault="00BF070D" w14:paraId="56095783" w14:textId="083D2B7B">
    <w:pPr>
      <w:pStyle w:val="Header"/>
      <w:rPr>
        <w:sz w:val="32"/>
        <w:szCs w:val="32"/>
      </w:rPr>
    </w:pPr>
    <w:r w:rsidRPr="00BF070D">
      <w:rPr>
        <w:sz w:val="32"/>
        <w:szCs w:val="32"/>
      </w:rPr>
      <w:t xml:space="preserve">Procedure Guidelines for University of Colorado Hospital Inpatient CTRC  </w:t>
    </w:r>
  </w:p>
  <w:p w:rsidR="0613244A" w:rsidP="0613244A" w:rsidRDefault="0613244A" w14:paraId="5E0BC1FD" w14:textId="513C9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4F83"/>
    <w:multiLevelType w:val="hybridMultilevel"/>
    <w:tmpl w:val="124E7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0552"/>
    <w:multiLevelType w:val="hybridMultilevel"/>
    <w:tmpl w:val="B8925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2559"/>
    <w:multiLevelType w:val="hybridMultilevel"/>
    <w:tmpl w:val="189E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C50"/>
    <w:multiLevelType w:val="hybridMultilevel"/>
    <w:tmpl w:val="5D8C2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06F7"/>
    <w:multiLevelType w:val="multilevel"/>
    <w:tmpl w:val="13168C4A"/>
    <w:lvl w:ilvl="0">
      <w:start w:val="1"/>
      <w:numFmt w:val="decimal"/>
      <w:lvlText w:val="%1."/>
      <w:lvlJc w:val="left"/>
      <w:pPr>
        <w:ind w:left="2970" w:hanging="360"/>
      </w:pPr>
    </w:lvl>
    <w:lvl w:ilvl="1">
      <w:start w:val="1"/>
      <w:numFmt w:val="lowerLetter"/>
      <w:lvlText w:val="%2)"/>
      <w:lvlJc w:val="left"/>
      <w:pPr>
        <w:ind w:left="3330" w:hanging="360"/>
      </w:pPr>
    </w:lvl>
    <w:lvl w:ilvl="2">
      <w:start w:val="1"/>
      <w:numFmt w:val="lowerRoman"/>
      <w:lvlText w:val="%3)"/>
      <w:lvlJc w:val="left"/>
      <w:pPr>
        <w:ind w:left="3690" w:hanging="360"/>
      </w:pPr>
    </w:lvl>
    <w:lvl w:ilvl="3">
      <w:start w:val="1"/>
      <w:numFmt w:val="decimal"/>
      <w:lvlText w:val="(%4)"/>
      <w:lvlJc w:val="left"/>
      <w:pPr>
        <w:ind w:left="4050" w:hanging="360"/>
      </w:pPr>
    </w:lvl>
    <w:lvl w:ilvl="4">
      <w:start w:val="1"/>
      <w:numFmt w:val="lowerLetter"/>
      <w:lvlText w:val="(%5)"/>
      <w:lvlJc w:val="left"/>
      <w:pPr>
        <w:ind w:left="4410" w:hanging="360"/>
      </w:pPr>
    </w:lvl>
    <w:lvl w:ilvl="5">
      <w:start w:val="1"/>
      <w:numFmt w:val="lowerRoman"/>
      <w:lvlText w:val="(%6)"/>
      <w:lvlJc w:val="left"/>
      <w:pPr>
        <w:ind w:left="4770" w:hanging="36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left"/>
      <w:pPr>
        <w:ind w:left="5850" w:hanging="360"/>
      </w:pPr>
    </w:lvl>
  </w:abstractNum>
  <w:abstractNum w:abstractNumId="5" w15:restartNumberingAfterBreak="0">
    <w:nsid w:val="25A435AD"/>
    <w:multiLevelType w:val="multilevel"/>
    <w:tmpl w:val="B87264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FA34275"/>
    <w:multiLevelType w:val="hybridMultilevel"/>
    <w:tmpl w:val="A3603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F3B56"/>
    <w:multiLevelType w:val="hybridMultilevel"/>
    <w:tmpl w:val="287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447643"/>
    <w:multiLevelType w:val="hybridMultilevel"/>
    <w:tmpl w:val="300CB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7587"/>
    <w:multiLevelType w:val="multilevel"/>
    <w:tmpl w:val="7124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6590C4F"/>
    <w:multiLevelType w:val="hybridMultilevel"/>
    <w:tmpl w:val="E178406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726339173">
    <w:abstractNumId w:val="9"/>
  </w:num>
  <w:num w:numId="2" w16cid:durableId="566915013">
    <w:abstractNumId w:val="5"/>
  </w:num>
  <w:num w:numId="3" w16cid:durableId="1789933447">
    <w:abstractNumId w:val="7"/>
  </w:num>
  <w:num w:numId="4" w16cid:durableId="1325671379">
    <w:abstractNumId w:val="10"/>
  </w:num>
  <w:num w:numId="5" w16cid:durableId="1372608362">
    <w:abstractNumId w:val="8"/>
  </w:num>
  <w:num w:numId="6" w16cid:durableId="2131971669">
    <w:abstractNumId w:val="3"/>
  </w:num>
  <w:num w:numId="7" w16cid:durableId="215817405">
    <w:abstractNumId w:val="2"/>
  </w:num>
  <w:num w:numId="8" w16cid:durableId="260182544">
    <w:abstractNumId w:val="0"/>
  </w:num>
  <w:num w:numId="9" w16cid:durableId="654800365">
    <w:abstractNumId w:val="1"/>
  </w:num>
  <w:num w:numId="10" w16cid:durableId="337464827">
    <w:abstractNumId w:val="6"/>
  </w:num>
  <w:num w:numId="11" w16cid:durableId="941306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22"/>
    <w:rsid w:val="0001714D"/>
    <w:rsid w:val="000A522E"/>
    <w:rsid w:val="000C3018"/>
    <w:rsid w:val="000C630E"/>
    <w:rsid w:val="000C6616"/>
    <w:rsid w:val="00105355"/>
    <w:rsid w:val="00110676"/>
    <w:rsid w:val="001161F2"/>
    <w:rsid w:val="00137F44"/>
    <w:rsid w:val="001E1C94"/>
    <w:rsid w:val="00227C30"/>
    <w:rsid w:val="002750AB"/>
    <w:rsid w:val="002D2F1A"/>
    <w:rsid w:val="002D5CD7"/>
    <w:rsid w:val="003166CE"/>
    <w:rsid w:val="00324E5E"/>
    <w:rsid w:val="00345B40"/>
    <w:rsid w:val="00360354"/>
    <w:rsid w:val="00380C59"/>
    <w:rsid w:val="003B2C66"/>
    <w:rsid w:val="003E4FF9"/>
    <w:rsid w:val="003F2CE3"/>
    <w:rsid w:val="00413FC9"/>
    <w:rsid w:val="00477519"/>
    <w:rsid w:val="00497B7D"/>
    <w:rsid w:val="004B0A5F"/>
    <w:rsid w:val="005339D4"/>
    <w:rsid w:val="00556D9A"/>
    <w:rsid w:val="005608DC"/>
    <w:rsid w:val="00585604"/>
    <w:rsid w:val="005F278A"/>
    <w:rsid w:val="00610621"/>
    <w:rsid w:val="006522D1"/>
    <w:rsid w:val="006D7B36"/>
    <w:rsid w:val="00746174"/>
    <w:rsid w:val="007811AF"/>
    <w:rsid w:val="007F0738"/>
    <w:rsid w:val="008A43BC"/>
    <w:rsid w:val="008BA157"/>
    <w:rsid w:val="008D6C66"/>
    <w:rsid w:val="00912049"/>
    <w:rsid w:val="00930E9F"/>
    <w:rsid w:val="00935EBF"/>
    <w:rsid w:val="0094306B"/>
    <w:rsid w:val="00973557"/>
    <w:rsid w:val="0098131E"/>
    <w:rsid w:val="009936E6"/>
    <w:rsid w:val="009C4AA7"/>
    <w:rsid w:val="009F10BC"/>
    <w:rsid w:val="00A32DD7"/>
    <w:rsid w:val="00A74A31"/>
    <w:rsid w:val="00B35C55"/>
    <w:rsid w:val="00B47FDB"/>
    <w:rsid w:val="00B57D60"/>
    <w:rsid w:val="00B96054"/>
    <w:rsid w:val="00BA4C72"/>
    <w:rsid w:val="00BA5A22"/>
    <w:rsid w:val="00BF070D"/>
    <w:rsid w:val="00C21C7B"/>
    <w:rsid w:val="00C51876"/>
    <w:rsid w:val="00C5193D"/>
    <w:rsid w:val="00C57F2D"/>
    <w:rsid w:val="00CA681F"/>
    <w:rsid w:val="00D521F4"/>
    <w:rsid w:val="00DA30F2"/>
    <w:rsid w:val="00DA6F48"/>
    <w:rsid w:val="00DB0CDA"/>
    <w:rsid w:val="00DD3DE6"/>
    <w:rsid w:val="00E10A66"/>
    <w:rsid w:val="00E615FA"/>
    <w:rsid w:val="00F31128"/>
    <w:rsid w:val="00F37D72"/>
    <w:rsid w:val="00F6034D"/>
    <w:rsid w:val="00F618A4"/>
    <w:rsid w:val="00F95360"/>
    <w:rsid w:val="00FB42F4"/>
    <w:rsid w:val="00FF5E61"/>
    <w:rsid w:val="014C4FEC"/>
    <w:rsid w:val="026C4B09"/>
    <w:rsid w:val="02CDEFED"/>
    <w:rsid w:val="0373E92F"/>
    <w:rsid w:val="04D34478"/>
    <w:rsid w:val="0613244A"/>
    <w:rsid w:val="0645A813"/>
    <w:rsid w:val="08CFD577"/>
    <w:rsid w:val="0A7E70B9"/>
    <w:rsid w:val="0C5EBEC9"/>
    <w:rsid w:val="104FA446"/>
    <w:rsid w:val="1221A41D"/>
    <w:rsid w:val="16C42AE3"/>
    <w:rsid w:val="174E23A2"/>
    <w:rsid w:val="17A8F220"/>
    <w:rsid w:val="186FE807"/>
    <w:rsid w:val="196A305F"/>
    <w:rsid w:val="19CF5969"/>
    <w:rsid w:val="1A19DA52"/>
    <w:rsid w:val="1AA2D609"/>
    <w:rsid w:val="1BB1E60F"/>
    <w:rsid w:val="21F4C302"/>
    <w:rsid w:val="23CE84C9"/>
    <w:rsid w:val="28F787CB"/>
    <w:rsid w:val="2C2F5D6B"/>
    <w:rsid w:val="2D75C748"/>
    <w:rsid w:val="2EC128E4"/>
    <w:rsid w:val="2F8575CF"/>
    <w:rsid w:val="30492D1E"/>
    <w:rsid w:val="318F8998"/>
    <w:rsid w:val="3424DFF3"/>
    <w:rsid w:val="36707B27"/>
    <w:rsid w:val="38EE3B31"/>
    <w:rsid w:val="3B4CEEBD"/>
    <w:rsid w:val="3BB8FAD4"/>
    <w:rsid w:val="3BB8FAD4"/>
    <w:rsid w:val="3D2EAD15"/>
    <w:rsid w:val="3DE02A09"/>
    <w:rsid w:val="3EE52F5C"/>
    <w:rsid w:val="4323AD55"/>
    <w:rsid w:val="433D31C4"/>
    <w:rsid w:val="440ECCAC"/>
    <w:rsid w:val="4913FAB7"/>
    <w:rsid w:val="494BDB66"/>
    <w:rsid w:val="4994C180"/>
    <w:rsid w:val="4BBB8511"/>
    <w:rsid w:val="4D30ABF3"/>
    <w:rsid w:val="4DECB1B7"/>
    <w:rsid w:val="4F934A66"/>
    <w:rsid w:val="4FB00A6B"/>
    <w:rsid w:val="5140E522"/>
    <w:rsid w:val="55172000"/>
    <w:rsid w:val="57E4A68B"/>
    <w:rsid w:val="5AE37AE7"/>
    <w:rsid w:val="5AFF65D4"/>
    <w:rsid w:val="5CFF7720"/>
    <w:rsid w:val="5EE5618B"/>
    <w:rsid w:val="5F86BDF0"/>
    <w:rsid w:val="60A63C56"/>
    <w:rsid w:val="617877E2"/>
    <w:rsid w:val="61921629"/>
    <w:rsid w:val="61FF40AE"/>
    <w:rsid w:val="6240B536"/>
    <w:rsid w:val="62C07EBB"/>
    <w:rsid w:val="6507C048"/>
    <w:rsid w:val="659ADD6B"/>
    <w:rsid w:val="65E6F80C"/>
    <w:rsid w:val="6A054AD4"/>
    <w:rsid w:val="6A1AEF02"/>
    <w:rsid w:val="6B9359ED"/>
    <w:rsid w:val="6BE3DF85"/>
    <w:rsid w:val="6F654F18"/>
    <w:rsid w:val="71770959"/>
    <w:rsid w:val="725FA53E"/>
    <w:rsid w:val="742B6D57"/>
    <w:rsid w:val="75940AA5"/>
    <w:rsid w:val="761866D8"/>
    <w:rsid w:val="77CC2E5F"/>
    <w:rsid w:val="78787905"/>
    <w:rsid w:val="7954BDAE"/>
    <w:rsid w:val="7B395E8B"/>
    <w:rsid w:val="7DCDE9BB"/>
    <w:rsid w:val="7E3F997F"/>
    <w:rsid w:val="7E78BA40"/>
    <w:rsid w:val="7EEACAF5"/>
    <w:rsid w:val="7F40C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577A"/>
  <w15:docId w15:val="{30ECD9CE-54F4-4F42-B2D2-3A44C422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6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0676"/>
  </w:style>
  <w:style w:type="paragraph" w:styleId="Footer">
    <w:name w:val="footer"/>
    <w:basedOn w:val="Normal"/>
    <w:link w:val="FooterChar"/>
    <w:uiPriority w:val="99"/>
    <w:unhideWhenUsed/>
    <w:rsid w:val="001106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0676"/>
  </w:style>
  <w:style w:type="character" w:styleId="PlaceholderText">
    <w:name w:val="Placeholder Text"/>
    <w:basedOn w:val="DefaultParagraphFont"/>
    <w:uiPriority w:val="99"/>
    <w:semiHidden/>
    <w:rsid w:val="00110676"/>
    <w:rPr>
      <w:color w:val="808080"/>
    </w:rPr>
  </w:style>
  <w:style w:type="paragraph" w:styleId="ListParagraph">
    <w:name w:val="List Paragraph"/>
    <w:basedOn w:val="Normal"/>
    <w:uiPriority w:val="34"/>
    <w:qFormat/>
    <w:rsid w:val="004775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0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A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0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A30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30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60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2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DE6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750AB"/>
    <w:rPr>
      <w:color w:val="605E5C"/>
      <w:shd w:val="clear" w:color="auto" w:fill="E1DFDD"/>
    </w:rPr>
  </w:style>
  <w:style w:type="character" w:styleId="normaltextrun" w:customStyle="true">
    <w:uiPriority w:val="1"/>
    <w:name w:val="normaltextrun"/>
    <w:basedOn w:val="DefaultParagraphFont"/>
    <w:rsid w:val="71770959"/>
    <w:rPr>
      <w:rFonts w:ascii="Times New Roman" w:hAnsi="Times New Roman" w:eastAsia="Times New Roman" w:cs="Times New Roman"/>
    </w:rPr>
  </w:style>
  <w:style w:type="character" w:styleId="eop" w:customStyle="true">
    <w:uiPriority w:val="1"/>
    <w:name w:val="eop"/>
    <w:basedOn w:val="DefaultParagraphFont"/>
    <w:rsid w:val="71770959"/>
    <w:rPr>
      <w:rFonts w:ascii="Times New Roman" w:hAnsi="Times New Roman" w:eastAsia="Times New Roman" w:cs="Times New Roman"/>
    </w:rPr>
  </w:style>
  <w:style w:type="paragraph" w:styleId="paragraph" w:customStyle="true">
    <w:uiPriority w:val="1"/>
    <w:name w:val="paragraph"/>
    <w:basedOn w:val="Normal"/>
    <w:rsid w:val="71770959"/>
    <w:rPr>
      <w:rFonts w:ascii="Times New Roman" w:hAnsi="Times New Roman" w:eastAsia="Times New Roman" w:cs="Times New Roman"/>
      <w:sz w:val="24"/>
      <w:szCs w:val="24"/>
    </w:rPr>
    <w:pPr>
      <w:spacing w:beforeAutospacing="on" w:afterAutospacing="o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uchealth.policystat.com/policy/16126139/latest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procedures.lww.com/lnp/view.do?pId=2958550&amp;hits=time,outs&amp;a=false&amp;ad=false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chealth-uch.policystat.com/policy/16126179/latest/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msowprodapp.uchealth.org/privinq/msopi.asp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uchealth-uch.policystat.com/policy/16126179/latest" TargetMode="Externa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294af18d6d4041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1f05bb68640a4f3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38C69E32BAB4E907154A10D109EAC" ma:contentTypeVersion="18" ma:contentTypeDescription="Create a new document." ma:contentTypeScope="" ma:versionID="1cae5762bd9533822eecfb995c103616">
  <xsd:schema xmlns:xsd="http://www.w3.org/2001/XMLSchema" xmlns:xs="http://www.w3.org/2001/XMLSchema" xmlns:p="http://schemas.microsoft.com/office/2006/metadata/properties" xmlns:ns2="5f661c19-c868-45b5-9265-17935f9985ed" xmlns:ns3="f72a72eb-556a-4ef4-93eb-5e0e75a41c64" xmlns:ns4="8864b64f-1233-41be-a075-290d430449b7" targetNamespace="http://schemas.microsoft.com/office/2006/metadata/properties" ma:root="true" ma:fieldsID="060089ab716e360ed5931f9a13905c4d" ns2:_="" ns3:_="" ns4:_="">
    <xsd:import namespace="5f661c19-c868-45b5-9265-17935f9985ed"/>
    <xsd:import namespace="f72a72eb-556a-4ef4-93eb-5e0e75a41c64"/>
    <xsd:import namespace="8864b64f-1233-41be-a075-290d43044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61c19-c868-45b5-9265-17935f998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167732-f0be-4849-9b58-dc884c6d3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72eb-556a-4ef4-93eb-5e0e75a4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b64f-1233-41be-a075-290d430449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d1a7b0-da3a-4192-a7dc-9d57c2f28af1}" ma:internalName="TaxCatchAll" ma:showField="CatchAllData" ma:web="f72a72eb-556a-4ef4-93eb-5e0e75a41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61c19-c868-45b5-9265-17935f9985ed">
      <Terms xmlns="http://schemas.microsoft.com/office/infopath/2007/PartnerControls"/>
    </lcf76f155ced4ddcb4097134ff3c332f>
    <TaxCatchAll xmlns="8864b64f-1233-41be-a075-290d430449b7" xsi:nil="true"/>
  </documentManagement>
</p:properties>
</file>

<file path=customXml/itemProps1.xml><?xml version="1.0" encoding="utf-8"?>
<ds:datastoreItem xmlns:ds="http://schemas.openxmlformats.org/officeDocument/2006/customXml" ds:itemID="{A0E7E730-7A7D-4EE8-8035-C51CFDC46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61c19-c868-45b5-9265-17935f9985ed"/>
    <ds:schemaRef ds:uri="f72a72eb-556a-4ef4-93eb-5e0e75a41c64"/>
    <ds:schemaRef ds:uri="8864b64f-1233-41be-a075-290d43044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FA7EC-98B2-412F-9867-4DB88C72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265CE-D8A6-4B29-AF45-0853BC85CC68}">
  <ds:schemaRefs>
    <ds:schemaRef ds:uri="http://schemas.microsoft.com/office/2006/metadata/properties"/>
    <ds:schemaRef ds:uri="http://schemas.microsoft.com/office/infopath/2007/PartnerControls"/>
    <ds:schemaRef ds:uri="5f661c19-c868-45b5-9265-17935f9985ed"/>
    <ds:schemaRef ds:uri="8864b64f-1233-41be-a075-290d430449b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Standard operating procedure-protocol updates from nurse liaison</dc:title>
  <dc:creator>Branham, Diane</dc:creator>
  <lastModifiedBy>Wulff, Kyla</lastModifiedBy>
  <revision>6</revision>
  <lastPrinted>2016-01-26T21:44:00.0000000Z</lastPrinted>
  <dcterms:created xsi:type="dcterms:W3CDTF">2025-06-27T14:11:00.0000000Z</dcterms:created>
  <dcterms:modified xsi:type="dcterms:W3CDTF">2025-08-15T19:06:04.9823948Z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0x010100B5538C69E32BAB4E907154A10D109EAC</vt:lpwstr>
  </property>
  <property fmtid="{D5CDD505-2E9C-101B-9397-08002B2CF9AE}" pid="3" name="MediaServiceImageTags">
    <vt:lpwstr/>
  </property>
</Properties>
</file>