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BEAAD" w14:textId="77777777" w:rsidR="001848DB" w:rsidRPr="001848DB" w:rsidRDefault="001848DB" w:rsidP="001848DB">
      <w:pPr>
        <w:widowControl w:val="0"/>
        <w:spacing w:after="0" w:line="240" w:lineRule="auto"/>
        <w:rPr>
          <w:rFonts w:ascii="Tunga" w:eastAsia="Times New Roman" w:hAnsi="Tunga" w:cs="Tunga"/>
          <w:snapToGrid w:val="0"/>
          <w:sz w:val="20"/>
          <w:szCs w:val="20"/>
        </w:rPr>
      </w:pPr>
      <w:bookmarkStart w:id="0" w:name="_GoBack"/>
      <w:bookmarkEnd w:id="0"/>
      <w:r w:rsidRPr="001848DB">
        <w:rPr>
          <w:rFonts w:ascii="Tunga" w:eastAsia="Times New Roman" w:hAnsi="Tunga" w:cs="Tunga"/>
          <w:snapToGrid w:val="0"/>
          <w:sz w:val="20"/>
          <w:szCs w:val="20"/>
        </w:rPr>
        <w:t>3)</w:t>
      </w:r>
      <w:r w:rsidRPr="001848DB">
        <w:rPr>
          <w:rFonts w:ascii="Tunga" w:eastAsia="Times New Roman" w:hAnsi="Tunga" w:cs="Tunga"/>
          <w:snapToGrid w:val="0"/>
          <w:sz w:val="20"/>
          <w:szCs w:val="20"/>
        </w:rPr>
        <w:tab/>
      </w:r>
      <w:r w:rsidRPr="001848DB">
        <w:rPr>
          <w:rFonts w:ascii="Tunga" w:eastAsia="Times New Roman" w:hAnsi="Tunga" w:cs="Tunga"/>
          <w:b/>
          <w:snapToGrid w:val="0"/>
          <w:sz w:val="20"/>
          <w:szCs w:val="20"/>
        </w:rPr>
        <w:t xml:space="preserve">Obtain: Height, Weight: </w:t>
      </w:r>
      <w:r w:rsidRPr="001848DB">
        <w:rPr>
          <w:rFonts w:ascii="Tunga" w:eastAsia="Times New Roman" w:hAnsi="Tunga" w:cs="Tunga"/>
          <w:snapToGrid w:val="0"/>
          <w:sz w:val="20"/>
          <w:szCs w:val="20"/>
        </w:rPr>
        <w:t>No shoes, empty pockets, no heavy coat/jacket</w:t>
      </w:r>
    </w:p>
    <w:p w14:paraId="0826B223" w14:textId="77777777" w:rsidR="001848DB" w:rsidRPr="001848DB" w:rsidRDefault="001848DB" w:rsidP="001848DB">
      <w:pPr>
        <w:widowControl w:val="0"/>
        <w:spacing w:after="0" w:line="240" w:lineRule="auto"/>
        <w:rPr>
          <w:rFonts w:ascii="Tunga" w:eastAsia="Times New Roman" w:hAnsi="Tunga" w:cs="Tunga"/>
          <w:snapToGrid w:val="0"/>
          <w:sz w:val="20"/>
          <w:szCs w:val="20"/>
        </w:rPr>
      </w:pPr>
      <w:r w:rsidRPr="001848DB">
        <w:rPr>
          <w:rFonts w:ascii="Tunga" w:eastAsia="Times New Roman" w:hAnsi="Tunga" w:cs="Tunga"/>
          <w:snapToGrid w:val="0"/>
          <w:sz w:val="20"/>
          <w:szCs w:val="20"/>
        </w:rPr>
        <w:t>4)</w:t>
      </w:r>
      <w:r w:rsidRPr="001848DB">
        <w:rPr>
          <w:rFonts w:ascii="Tunga" w:eastAsia="Times New Roman" w:hAnsi="Tunga" w:cs="Tunga"/>
          <w:snapToGrid w:val="0"/>
          <w:sz w:val="20"/>
          <w:szCs w:val="20"/>
        </w:rPr>
        <w:tab/>
      </w:r>
      <w:r w:rsidRPr="001848DB">
        <w:rPr>
          <w:rFonts w:ascii="Tunga" w:eastAsia="Times New Roman" w:hAnsi="Tunga" w:cs="Tunga"/>
          <w:b/>
          <w:snapToGrid w:val="0"/>
          <w:sz w:val="20"/>
          <w:szCs w:val="20"/>
        </w:rPr>
        <w:t>Verify Allergies</w:t>
      </w:r>
      <w:r w:rsidRPr="001848DB">
        <w:rPr>
          <w:rFonts w:ascii="Tunga" w:eastAsia="Times New Roman" w:hAnsi="Tunga" w:cs="Tunga"/>
          <w:snapToGrid w:val="0"/>
          <w:sz w:val="20"/>
          <w:szCs w:val="20"/>
        </w:rPr>
        <w:t xml:space="preserve"> </w:t>
      </w:r>
    </w:p>
    <w:p w14:paraId="4F8CA089" w14:textId="77777777" w:rsidR="001848DB" w:rsidRPr="001848DB" w:rsidRDefault="001848DB" w:rsidP="001848DB">
      <w:pPr>
        <w:widowControl w:val="0"/>
        <w:spacing w:after="0" w:line="240" w:lineRule="auto"/>
        <w:rPr>
          <w:rFonts w:ascii="Tunga" w:eastAsia="Times New Roman" w:hAnsi="Tunga" w:cs="Tunga"/>
          <w:snapToGrid w:val="0"/>
          <w:sz w:val="20"/>
          <w:szCs w:val="20"/>
        </w:rPr>
      </w:pPr>
      <w:r w:rsidRPr="001848DB">
        <w:rPr>
          <w:rFonts w:ascii="Tunga" w:eastAsia="Times New Roman" w:hAnsi="Tunga" w:cs="Tunga"/>
          <w:snapToGrid w:val="0"/>
          <w:sz w:val="20"/>
          <w:szCs w:val="20"/>
        </w:rPr>
        <w:t>5)</w:t>
      </w:r>
      <w:r w:rsidRPr="001848DB">
        <w:rPr>
          <w:rFonts w:ascii="Tunga" w:eastAsia="Times New Roman" w:hAnsi="Tunga" w:cs="Tunga"/>
          <w:snapToGrid w:val="0"/>
          <w:sz w:val="20"/>
          <w:szCs w:val="20"/>
        </w:rPr>
        <w:tab/>
      </w:r>
      <w:r w:rsidRPr="001848DB">
        <w:rPr>
          <w:rFonts w:ascii="Tunga" w:eastAsia="Times New Roman" w:hAnsi="Tunga" w:cs="Tunga"/>
          <w:b/>
          <w:snapToGrid w:val="0"/>
          <w:sz w:val="20"/>
          <w:szCs w:val="20"/>
        </w:rPr>
        <w:t>Verify</w:t>
      </w:r>
      <w:r w:rsidRPr="001848DB">
        <w:rPr>
          <w:rFonts w:ascii="Tunga" w:eastAsia="Times New Roman" w:hAnsi="Tunga" w:cs="Tunga"/>
          <w:snapToGrid w:val="0"/>
          <w:sz w:val="20"/>
          <w:szCs w:val="20"/>
        </w:rPr>
        <w:t xml:space="preserve"> </w:t>
      </w:r>
      <w:r w:rsidRPr="001848DB">
        <w:rPr>
          <w:rFonts w:ascii="Tunga" w:eastAsia="Times New Roman" w:hAnsi="Tunga" w:cs="Tunga"/>
          <w:b/>
          <w:snapToGrid w:val="0"/>
          <w:sz w:val="20"/>
          <w:szCs w:val="20"/>
        </w:rPr>
        <w:t>Documents</w:t>
      </w:r>
      <w:r w:rsidRPr="001848DB">
        <w:rPr>
          <w:rFonts w:ascii="Tunga" w:eastAsia="Times New Roman" w:hAnsi="Tunga" w:cs="Tunga"/>
          <w:snapToGrid w:val="0"/>
          <w:sz w:val="20"/>
          <w:szCs w:val="20"/>
        </w:rPr>
        <w:t xml:space="preserve">: Consent Auth B       H &amp; P        </w:t>
      </w:r>
    </w:p>
    <w:p w14:paraId="60F78DF8" w14:textId="262F3D24" w:rsidR="001848DB" w:rsidRPr="001848DB" w:rsidRDefault="001848DB" w:rsidP="001848DB">
      <w:pPr>
        <w:widowControl w:val="0"/>
        <w:spacing w:after="0" w:line="240" w:lineRule="auto"/>
        <w:rPr>
          <w:rFonts w:ascii="Tunga" w:eastAsia="Times New Roman" w:hAnsi="Tunga" w:cs="Tunga"/>
          <w:snapToGrid w:val="0"/>
          <w:sz w:val="20"/>
          <w:szCs w:val="20"/>
        </w:rPr>
      </w:pPr>
      <w:r w:rsidRPr="001848DB">
        <w:rPr>
          <w:rFonts w:ascii="Tunga" w:eastAsia="Times New Roman" w:hAnsi="Tunga" w:cs="Tunga"/>
          <w:snapToGrid w:val="0"/>
          <w:sz w:val="20"/>
          <w:szCs w:val="20"/>
        </w:rPr>
        <w:t>6)</w:t>
      </w:r>
      <w:r w:rsidRPr="001848DB">
        <w:rPr>
          <w:rFonts w:ascii="Tunga" w:eastAsia="Times New Roman" w:hAnsi="Tunga" w:cs="Tunga"/>
          <w:snapToGrid w:val="0"/>
          <w:sz w:val="20"/>
          <w:szCs w:val="20"/>
        </w:rPr>
        <w:tab/>
      </w:r>
      <w:r w:rsidRPr="001848DB">
        <w:rPr>
          <w:rFonts w:ascii="Tunga" w:eastAsia="Times New Roman" w:hAnsi="Tunga" w:cs="Tunga"/>
          <w:b/>
          <w:snapToGrid w:val="0"/>
          <w:sz w:val="20"/>
          <w:szCs w:val="20"/>
        </w:rPr>
        <w:t>STAT orders/Special Considerations</w:t>
      </w:r>
      <w:r w:rsidRPr="001848DB">
        <w:rPr>
          <w:rFonts w:ascii="Tunga" w:eastAsia="Times New Roman" w:hAnsi="Tunga" w:cs="Tunga"/>
          <w:snapToGrid w:val="0"/>
          <w:sz w:val="20"/>
          <w:szCs w:val="20"/>
        </w:rPr>
        <w:t xml:space="preserve">: Withhold all antihypertensive treatments for 12 hours prior and throughout each </w:t>
      </w:r>
      <w:r>
        <w:rPr>
          <w:rFonts w:ascii="Tunga" w:eastAsia="Times New Roman" w:hAnsi="Tunga" w:cs="Tunga"/>
          <w:snapToGrid w:val="0"/>
          <w:sz w:val="20"/>
          <w:szCs w:val="20"/>
        </w:rPr>
        <w:t xml:space="preserve">       </w:t>
      </w:r>
      <w:r w:rsidRPr="001848DB">
        <w:rPr>
          <w:rFonts w:ascii="Tunga" w:eastAsia="Times New Roman" w:hAnsi="Tunga" w:cs="Tunga"/>
          <w:snapToGrid w:val="0"/>
          <w:sz w:val="20"/>
          <w:szCs w:val="20"/>
        </w:rPr>
        <w:t xml:space="preserve">Ocrelizumab infusion  </w:t>
      </w:r>
    </w:p>
    <w:p w14:paraId="140E5A02" w14:textId="77777777" w:rsidR="001848DB" w:rsidRPr="001848DB" w:rsidRDefault="001848DB" w:rsidP="001848DB">
      <w:pPr>
        <w:widowControl w:val="0"/>
        <w:spacing w:after="0" w:line="240" w:lineRule="auto"/>
        <w:rPr>
          <w:rFonts w:ascii="Tunga" w:eastAsia="Times New Roman" w:hAnsi="Tunga" w:cs="Tunga"/>
          <w:snapToGrid w:val="0"/>
          <w:sz w:val="20"/>
          <w:szCs w:val="20"/>
        </w:rPr>
      </w:pPr>
      <w:r w:rsidRPr="001848DB">
        <w:rPr>
          <w:rFonts w:ascii="Tunga" w:eastAsia="Times New Roman" w:hAnsi="Tunga" w:cs="Tunga"/>
          <w:snapToGrid w:val="0"/>
          <w:sz w:val="20"/>
          <w:szCs w:val="20"/>
        </w:rPr>
        <w:t>7)</w:t>
      </w:r>
      <w:r w:rsidRPr="001848DB">
        <w:rPr>
          <w:rFonts w:ascii="Tunga" w:eastAsia="Times New Roman" w:hAnsi="Tunga" w:cs="Tunga"/>
          <w:snapToGrid w:val="0"/>
          <w:sz w:val="20"/>
          <w:szCs w:val="20"/>
        </w:rPr>
        <w:tab/>
      </w:r>
      <w:r w:rsidRPr="001848DB">
        <w:rPr>
          <w:rFonts w:ascii="Tunga" w:eastAsia="Times New Roman" w:hAnsi="Tunga" w:cs="Tunga"/>
          <w:b/>
          <w:snapToGrid w:val="0"/>
          <w:sz w:val="20"/>
          <w:szCs w:val="20"/>
        </w:rPr>
        <w:t xml:space="preserve">Visit Parameters:  </w:t>
      </w:r>
      <w:r w:rsidRPr="001848DB">
        <w:rPr>
          <w:rFonts w:ascii="Tunga" w:eastAsia="Times New Roman" w:hAnsi="Tunga" w:cs="Tunga"/>
          <w:snapToGrid w:val="0"/>
          <w:sz w:val="20"/>
          <w:szCs w:val="20"/>
        </w:rPr>
        <w:t>Call MD/Infusion PI for BP &gt;180/100, &lt;90/50, HR&gt;110 &lt;40, RR&gt;20, &lt;6, Glucose &gt;250 &lt;50</w:t>
      </w:r>
    </w:p>
    <w:p w14:paraId="059FBC52" w14:textId="77777777" w:rsidR="001848DB" w:rsidRPr="001848DB" w:rsidRDefault="001848DB" w:rsidP="001848DB">
      <w:pPr>
        <w:widowControl w:val="0"/>
        <w:spacing w:after="0" w:line="240" w:lineRule="auto"/>
        <w:rPr>
          <w:rFonts w:ascii="Tunga" w:eastAsia="Times New Roman" w:hAnsi="Tunga" w:cs="Tunga"/>
          <w:snapToGrid w:val="0"/>
          <w:sz w:val="20"/>
          <w:szCs w:val="20"/>
        </w:rPr>
      </w:pPr>
      <w:r w:rsidRPr="001848DB">
        <w:rPr>
          <w:rFonts w:ascii="Tunga" w:eastAsia="Times New Roman" w:hAnsi="Tunga" w:cs="Tunga"/>
          <w:snapToGrid w:val="0"/>
          <w:sz w:val="20"/>
          <w:szCs w:val="20"/>
        </w:rPr>
        <w:t>8)</w:t>
      </w:r>
      <w:r w:rsidRPr="001848DB">
        <w:rPr>
          <w:rFonts w:ascii="Tunga" w:eastAsia="Times New Roman" w:hAnsi="Tunga" w:cs="Tunga"/>
          <w:snapToGrid w:val="0"/>
          <w:sz w:val="20"/>
          <w:szCs w:val="20"/>
        </w:rPr>
        <w:tab/>
      </w:r>
      <w:r w:rsidRPr="001848DB">
        <w:rPr>
          <w:rFonts w:ascii="Tunga" w:eastAsia="Times New Roman" w:hAnsi="Tunga" w:cs="Tunga"/>
          <w:b/>
          <w:snapToGrid w:val="0"/>
          <w:sz w:val="20"/>
          <w:szCs w:val="20"/>
        </w:rPr>
        <w:t xml:space="preserve">Diet: </w:t>
      </w:r>
      <w:r w:rsidRPr="001848DB">
        <w:rPr>
          <w:rFonts w:ascii="Tunga" w:eastAsia="Times New Roman" w:hAnsi="Tunga" w:cs="Tunga"/>
          <w:snapToGrid w:val="0"/>
          <w:sz w:val="20"/>
          <w:szCs w:val="20"/>
        </w:rPr>
        <w:t>No Restrictions</w:t>
      </w:r>
    </w:p>
    <w:p w14:paraId="5C08551A" w14:textId="77777777" w:rsidR="001848DB" w:rsidRPr="001848DB" w:rsidRDefault="001848DB" w:rsidP="001848DB">
      <w:pPr>
        <w:widowControl w:val="0"/>
        <w:spacing w:after="0" w:line="240" w:lineRule="auto"/>
        <w:rPr>
          <w:rFonts w:ascii="Tunga" w:eastAsia="Times New Roman" w:hAnsi="Tunga" w:cs="Tunga"/>
          <w:snapToGrid w:val="0"/>
          <w:sz w:val="20"/>
          <w:szCs w:val="20"/>
        </w:rPr>
      </w:pPr>
      <w:r w:rsidRPr="001848DB">
        <w:rPr>
          <w:rFonts w:ascii="Tunga" w:eastAsia="Times New Roman" w:hAnsi="Tunga" w:cs="Tunga"/>
          <w:snapToGrid w:val="0"/>
          <w:sz w:val="20"/>
          <w:szCs w:val="20"/>
        </w:rPr>
        <w:t>9)</w:t>
      </w:r>
      <w:r w:rsidRPr="001848DB">
        <w:rPr>
          <w:rFonts w:ascii="Tunga" w:eastAsia="Times New Roman" w:hAnsi="Tunga" w:cs="Tunga"/>
          <w:snapToGrid w:val="0"/>
          <w:sz w:val="20"/>
          <w:szCs w:val="20"/>
        </w:rPr>
        <w:tab/>
      </w:r>
      <w:r w:rsidRPr="001848DB">
        <w:rPr>
          <w:rFonts w:ascii="Tunga" w:eastAsia="Times New Roman" w:hAnsi="Tunga" w:cs="Tunga"/>
          <w:b/>
          <w:snapToGrid w:val="0"/>
          <w:sz w:val="20"/>
          <w:szCs w:val="20"/>
        </w:rPr>
        <w:t xml:space="preserve">Activity: </w:t>
      </w:r>
      <w:r w:rsidRPr="001848DB">
        <w:rPr>
          <w:rFonts w:ascii="Tunga" w:eastAsia="Times New Roman" w:hAnsi="Tunga" w:cs="Tunga"/>
          <w:snapToGrid w:val="0"/>
          <w:sz w:val="20"/>
          <w:szCs w:val="20"/>
        </w:rPr>
        <w:t>No Restrictions</w:t>
      </w:r>
    </w:p>
    <w:p w14:paraId="46B5B2F1" w14:textId="020AEC3B" w:rsidR="001848DB" w:rsidRPr="001848DB" w:rsidRDefault="001848DB" w:rsidP="001848DB">
      <w:pPr>
        <w:widowControl w:val="0"/>
        <w:spacing w:after="0" w:line="240" w:lineRule="auto"/>
        <w:ind w:left="720" w:hanging="720"/>
        <w:rPr>
          <w:rFonts w:ascii="Tunga" w:eastAsia="Times New Roman" w:hAnsi="Tunga" w:cs="Tunga"/>
          <w:snapToGrid w:val="0"/>
          <w:sz w:val="20"/>
          <w:szCs w:val="20"/>
        </w:rPr>
      </w:pPr>
      <w:r w:rsidRPr="001848DB">
        <w:rPr>
          <w:rFonts w:ascii="Tunga" w:eastAsia="Times New Roman" w:hAnsi="Tunga" w:cs="Tunga"/>
          <w:snapToGrid w:val="0"/>
          <w:sz w:val="20"/>
          <w:szCs w:val="20"/>
        </w:rPr>
        <w:t>10)</w:t>
      </w:r>
      <w:r w:rsidRPr="001848DB">
        <w:rPr>
          <w:rFonts w:ascii="Tunga" w:eastAsia="Times New Roman" w:hAnsi="Tunga" w:cs="Tunga"/>
          <w:b/>
          <w:snapToGrid w:val="0"/>
          <w:sz w:val="20"/>
          <w:szCs w:val="20"/>
        </w:rPr>
        <w:tab/>
        <w:t xml:space="preserve">Stop Criteria: </w:t>
      </w:r>
    </w:p>
    <w:p w14:paraId="37B949F7" w14:textId="43443CF0" w:rsidR="001848DB" w:rsidRPr="001848DB" w:rsidRDefault="001848DB" w:rsidP="001848DB">
      <w:pPr>
        <w:widowControl w:val="0"/>
        <w:spacing w:after="0" w:line="240" w:lineRule="auto"/>
        <w:rPr>
          <w:rFonts w:ascii="Tunga" w:eastAsia="Times New Roman" w:hAnsi="Tunga" w:cs="Tunga"/>
          <w:snapToGrid w:val="0"/>
          <w:sz w:val="20"/>
          <w:szCs w:val="20"/>
        </w:rPr>
      </w:pPr>
      <w:r w:rsidRPr="001848DB">
        <w:rPr>
          <w:rFonts w:ascii="Tunga" w:eastAsia="Times New Roman" w:hAnsi="Tunga" w:cs="Tunga"/>
          <w:snapToGrid w:val="0"/>
          <w:sz w:val="20"/>
          <w:szCs w:val="20"/>
        </w:rPr>
        <w:tab/>
        <w:t>Infusion Reactions</w:t>
      </w:r>
      <w:r>
        <w:rPr>
          <w:rFonts w:ascii="Tunga" w:eastAsia="Times New Roman" w:hAnsi="Tunga" w:cs="Tunga"/>
          <w:snapToGrid w:val="0"/>
          <w:sz w:val="20"/>
          <w:szCs w:val="20"/>
        </w:rPr>
        <w:t xml:space="preserve"> </w:t>
      </w:r>
      <w:r w:rsidRPr="001848DB">
        <w:rPr>
          <w:rFonts w:ascii="Tunga" w:eastAsia="Times New Roman" w:hAnsi="Tunga" w:cs="Tunga"/>
          <w:snapToGrid w:val="0"/>
          <w:sz w:val="20"/>
          <w:szCs w:val="20"/>
        </w:rPr>
        <w:t>- Contact PI and MAIN STUDY COORDINATOR</w:t>
      </w:r>
    </w:p>
    <w:p w14:paraId="5A576783" w14:textId="77777777" w:rsidR="001848DB" w:rsidRPr="001848DB" w:rsidRDefault="001848DB" w:rsidP="001848DB">
      <w:pPr>
        <w:widowControl w:val="0"/>
        <w:numPr>
          <w:ilvl w:val="0"/>
          <w:numId w:val="1"/>
        </w:numPr>
        <w:spacing w:after="0" w:line="240" w:lineRule="auto"/>
        <w:rPr>
          <w:rFonts w:ascii="Tunga" w:eastAsia="Times New Roman" w:hAnsi="Tunga" w:cs="Tunga"/>
          <w:snapToGrid w:val="0"/>
          <w:sz w:val="20"/>
          <w:szCs w:val="20"/>
        </w:rPr>
      </w:pPr>
      <w:r w:rsidRPr="001848DB">
        <w:rPr>
          <w:rFonts w:ascii="Tunga" w:eastAsia="Times New Roman" w:hAnsi="Tunga" w:cs="Tunga"/>
          <w:snapToGrid w:val="0"/>
          <w:sz w:val="20"/>
          <w:szCs w:val="20"/>
        </w:rPr>
        <w:t>Sign and Symptoms</w:t>
      </w:r>
    </w:p>
    <w:p w14:paraId="662B042C" w14:textId="77777777" w:rsidR="001848DB" w:rsidRPr="001848DB" w:rsidRDefault="001848DB" w:rsidP="001848DB">
      <w:pPr>
        <w:widowControl w:val="0"/>
        <w:numPr>
          <w:ilvl w:val="1"/>
          <w:numId w:val="4"/>
        </w:numPr>
        <w:spacing w:after="0" w:line="240" w:lineRule="auto"/>
        <w:rPr>
          <w:rFonts w:ascii="Tunga" w:eastAsia="Times New Roman" w:hAnsi="Tunga" w:cs="Tunga"/>
          <w:snapToGrid w:val="0"/>
          <w:sz w:val="20"/>
          <w:szCs w:val="20"/>
        </w:rPr>
      </w:pPr>
      <w:r w:rsidRPr="001848DB">
        <w:rPr>
          <w:rFonts w:ascii="Tunga" w:eastAsia="Times New Roman" w:hAnsi="Tunga" w:cs="Tunga"/>
          <w:snapToGrid w:val="0"/>
          <w:sz w:val="20"/>
          <w:szCs w:val="20"/>
        </w:rPr>
        <w:t>Allergic reaction/hypersensitivity, Drug fever (&gt;38C or &gt;101F), Arthralgia, Bronchospasms, Cough, Dizziness, Dyspnea, Fatigue, Headache, Hypertension (SBP &gt;160 or DBP &gt;110), Hypotension (SBP &lt;90 or DBP &lt;60), Myalgia, Nausea, Pruritus, Rash/desquamation, Rigors/chills, Diaphoresis, Tachycardia (HR &gt;110), Urticaria, vomiting</w:t>
      </w:r>
    </w:p>
    <w:p w14:paraId="4EE6E5D5" w14:textId="77777777" w:rsidR="001848DB" w:rsidRPr="001848DB" w:rsidRDefault="001848DB" w:rsidP="001848DB">
      <w:pPr>
        <w:widowControl w:val="0"/>
        <w:spacing w:after="0" w:line="240" w:lineRule="auto"/>
        <w:ind w:left="720"/>
        <w:rPr>
          <w:rFonts w:ascii="Tunga" w:eastAsia="Times New Roman" w:hAnsi="Tunga" w:cs="Tunga"/>
          <w:snapToGrid w:val="0"/>
          <w:sz w:val="20"/>
          <w:szCs w:val="20"/>
        </w:rPr>
      </w:pPr>
    </w:p>
    <w:p w14:paraId="0B0C0C40" w14:textId="77777777" w:rsidR="001848DB" w:rsidRPr="001848DB" w:rsidRDefault="001848DB" w:rsidP="001848DB">
      <w:pPr>
        <w:autoSpaceDE w:val="0"/>
        <w:autoSpaceDN w:val="0"/>
        <w:adjustRightInd w:val="0"/>
        <w:spacing w:after="0" w:line="240" w:lineRule="auto"/>
        <w:ind w:firstLine="360"/>
        <w:rPr>
          <w:rFonts w:ascii="Tunga" w:eastAsia="Times New Roman" w:hAnsi="Tunga" w:cs="Tunga"/>
          <w:b/>
          <w:color w:val="000000"/>
          <w:sz w:val="20"/>
          <w:szCs w:val="20"/>
        </w:rPr>
      </w:pPr>
      <w:r w:rsidRPr="001848DB">
        <w:rPr>
          <w:rFonts w:ascii="Tunga" w:eastAsia="Times New Roman" w:hAnsi="Tunga" w:cs="Tunga"/>
          <w:b/>
          <w:color w:val="000000"/>
          <w:sz w:val="20"/>
          <w:szCs w:val="20"/>
        </w:rPr>
        <w:t>Categorization of Infusion-Related Reactions</w:t>
      </w:r>
    </w:p>
    <w:p w14:paraId="683EADFE" w14:textId="77777777" w:rsidR="001848DB" w:rsidRPr="001848DB" w:rsidRDefault="001848DB" w:rsidP="001848DB">
      <w:pPr>
        <w:widowControl w:val="0"/>
        <w:numPr>
          <w:ilvl w:val="0"/>
          <w:numId w:val="5"/>
        </w:numPr>
        <w:autoSpaceDE w:val="0"/>
        <w:autoSpaceDN w:val="0"/>
        <w:adjustRightInd w:val="0"/>
        <w:spacing w:after="0" w:line="240" w:lineRule="auto"/>
        <w:rPr>
          <w:rFonts w:ascii="Tunga" w:eastAsia="Times New Roman" w:hAnsi="Tunga" w:cs="Tunga"/>
          <w:color w:val="000000"/>
          <w:sz w:val="20"/>
          <w:szCs w:val="20"/>
        </w:rPr>
      </w:pPr>
      <w:r w:rsidRPr="001848DB">
        <w:rPr>
          <w:rFonts w:ascii="Tunga" w:eastAsia="Times New Roman" w:hAnsi="Tunga" w:cs="Tunga"/>
          <w:color w:val="000000"/>
          <w:sz w:val="20"/>
          <w:szCs w:val="20"/>
        </w:rPr>
        <w:t xml:space="preserve">Mild - Infusion may be continued; if intervention is indicated it is minimal and additional treatment (other than acetaminophen for delayed reactions) is not required. </w:t>
      </w:r>
    </w:p>
    <w:p w14:paraId="47A5D2B3" w14:textId="1F139F1B" w:rsidR="001848DB" w:rsidRPr="001848DB" w:rsidRDefault="001848DB" w:rsidP="001848DB">
      <w:pPr>
        <w:widowControl w:val="0"/>
        <w:numPr>
          <w:ilvl w:val="0"/>
          <w:numId w:val="5"/>
        </w:numPr>
        <w:autoSpaceDE w:val="0"/>
        <w:autoSpaceDN w:val="0"/>
        <w:adjustRightInd w:val="0"/>
        <w:spacing w:after="0" w:line="240" w:lineRule="auto"/>
        <w:rPr>
          <w:rFonts w:ascii="Tunga" w:eastAsia="Times New Roman" w:hAnsi="Tunga" w:cs="Tunga"/>
          <w:color w:val="000000"/>
          <w:sz w:val="20"/>
          <w:szCs w:val="20"/>
        </w:rPr>
      </w:pPr>
      <w:r w:rsidRPr="001848DB">
        <w:rPr>
          <w:rFonts w:ascii="Tunga" w:eastAsia="Times New Roman" w:hAnsi="Tunga" w:cs="Tunga"/>
          <w:color w:val="000000"/>
          <w:sz w:val="20"/>
          <w:szCs w:val="20"/>
        </w:rPr>
        <w:t>Moderate- Requires treatment including more intensive therapy (e.g., IV fluids, nonsteroidal anti-inflammatory [NSAIDs]</w:t>
      </w:r>
      <w:r>
        <w:rPr>
          <w:rFonts w:ascii="Tunga" w:eastAsia="Times New Roman" w:hAnsi="Tunga" w:cs="Tunga"/>
          <w:color w:val="000000"/>
          <w:sz w:val="20"/>
          <w:szCs w:val="20"/>
        </w:rPr>
        <w:t xml:space="preserve"> see medication order</w:t>
      </w:r>
      <w:r w:rsidRPr="001848DB">
        <w:rPr>
          <w:rFonts w:ascii="Tunga" w:eastAsia="Times New Roman" w:hAnsi="Tunga" w:cs="Tunga"/>
          <w:color w:val="000000"/>
          <w:sz w:val="20"/>
          <w:szCs w:val="20"/>
        </w:rPr>
        <w:t xml:space="preserve">) in addition to infusion interruption but responds promptly to medication. Treatment is indicated for </w:t>
      </w:r>
      <w:r w:rsidRPr="001848DB">
        <w:rPr>
          <w:rFonts w:ascii="Arial" w:eastAsia="Times New Roman" w:hAnsi="Arial" w:cs="Arial"/>
          <w:color w:val="000000"/>
          <w:sz w:val="20"/>
          <w:szCs w:val="20"/>
        </w:rPr>
        <w:t>≤</w:t>
      </w:r>
      <w:r w:rsidRPr="001848DB">
        <w:rPr>
          <w:rFonts w:ascii="Tunga" w:eastAsia="Times New Roman" w:hAnsi="Tunga" w:cs="Tunga"/>
          <w:color w:val="000000"/>
          <w:sz w:val="20"/>
          <w:szCs w:val="20"/>
        </w:rPr>
        <w:t xml:space="preserve">24 hours. </w:t>
      </w:r>
    </w:p>
    <w:p w14:paraId="3F90E64F" w14:textId="77777777" w:rsidR="001848DB" w:rsidRPr="001848DB" w:rsidRDefault="001848DB" w:rsidP="001848DB">
      <w:pPr>
        <w:widowControl w:val="0"/>
        <w:numPr>
          <w:ilvl w:val="0"/>
          <w:numId w:val="5"/>
        </w:numPr>
        <w:autoSpaceDE w:val="0"/>
        <w:autoSpaceDN w:val="0"/>
        <w:adjustRightInd w:val="0"/>
        <w:spacing w:after="0" w:line="240" w:lineRule="auto"/>
        <w:rPr>
          <w:rFonts w:ascii="Tunga" w:eastAsia="Times New Roman" w:hAnsi="Tunga" w:cs="Tunga"/>
          <w:color w:val="000000"/>
          <w:sz w:val="20"/>
          <w:szCs w:val="20"/>
        </w:rPr>
      </w:pPr>
      <w:r w:rsidRPr="001848DB">
        <w:rPr>
          <w:rFonts w:ascii="Tunga" w:eastAsia="Times New Roman" w:hAnsi="Tunga" w:cs="Tunga"/>
          <w:color w:val="000000"/>
          <w:sz w:val="20"/>
          <w:szCs w:val="20"/>
        </w:rPr>
        <w:t xml:space="preserve">Severe- Not rapidly responsive to medication or to interruption of infusion; and/ or prolonged (treatment is indicated for &gt;24 hours); recurrence of severe symptoms following initial improvement. </w:t>
      </w:r>
    </w:p>
    <w:p w14:paraId="34E030E7" w14:textId="77777777" w:rsidR="001848DB" w:rsidRPr="001848DB" w:rsidRDefault="001848DB" w:rsidP="001848DB">
      <w:pPr>
        <w:autoSpaceDE w:val="0"/>
        <w:autoSpaceDN w:val="0"/>
        <w:adjustRightInd w:val="0"/>
        <w:spacing w:after="0" w:line="240" w:lineRule="auto"/>
        <w:ind w:firstLine="360"/>
        <w:rPr>
          <w:rFonts w:ascii="Tunga" w:eastAsia="Times New Roman" w:hAnsi="Tunga" w:cs="Tunga"/>
          <w:b/>
          <w:color w:val="000000"/>
          <w:sz w:val="20"/>
          <w:szCs w:val="20"/>
        </w:rPr>
      </w:pPr>
      <w:r w:rsidRPr="001848DB">
        <w:rPr>
          <w:rFonts w:ascii="Tunga" w:eastAsia="Times New Roman" w:hAnsi="Tunga" w:cs="Tunga"/>
          <w:b/>
          <w:color w:val="000000"/>
          <w:sz w:val="20"/>
          <w:szCs w:val="20"/>
        </w:rPr>
        <w:t>Guidelines for Management of Infusion-Related Reactions</w:t>
      </w:r>
    </w:p>
    <w:p w14:paraId="17C0DD58" w14:textId="77777777" w:rsidR="001848DB" w:rsidRPr="001848DB" w:rsidRDefault="001848DB" w:rsidP="001848DB">
      <w:pPr>
        <w:autoSpaceDE w:val="0"/>
        <w:autoSpaceDN w:val="0"/>
        <w:adjustRightInd w:val="0"/>
        <w:spacing w:after="0" w:line="240" w:lineRule="auto"/>
        <w:ind w:firstLine="360"/>
        <w:rPr>
          <w:rFonts w:ascii="Tunga" w:eastAsia="Times New Roman" w:hAnsi="Tunga" w:cs="Tunga"/>
          <w:color w:val="000000"/>
          <w:sz w:val="20"/>
          <w:szCs w:val="20"/>
        </w:rPr>
      </w:pPr>
      <w:r w:rsidRPr="001848DB">
        <w:rPr>
          <w:rFonts w:ascii="Tunga" w:eastAsia="Times New Roman" w:hAnsi="Tunga" w:cs="Tunga"/>
          <w:color w:val="000000"/>
          <w:sz w:val="20"/>
          <w:szCs w:val="20"/>
        </w:rPr>
        <w:t>Mild to moderate</w:t>
      </w:r>
    </w:p>
    <w:p w14:paraId="5CF84120" w14:textId="77777777" w:rsidR="001848DB" w:rsidRPr="001848DB" w:rsidRDefault="001848DB" w:rsidP="001848DB">
      <w:pPr>
        <w:widowControl w:val="0"/>
        <w:numPr>
          <w:ilvl w:val="0"/>
          <w:numId w:val="10"/>
        </w:numPr>
        <w:autoSpaceDE w:val="0"/>
        <w:autoSpaceDN w:val="0"/>
        <w:adjustRightInd w:val="0"/>
        <w:spacing w:after="0" w:line="240" w:lineRule="auto"/>
        <w:rPr>
          <w:rFonts w:ascii="Tunga" w:eastAsia="Times New Roman" w:hAnsi="Tunga" w:cs="Tunga"/>
          <w:color w:val="000000"/>
          <w:sz w:val="20"/>
          <w:szCs w:val="20"/>
        </w:rPr>
      </w:pPr>
      <w:r w:rsidRPr="001848DB">
        <w:rPr>
          <w:rFonts w:ascii="Tunga" w:eastAsia="Times New Roman" w:hAnsi="Tunga" w:cs="Tunga"/>
          <w:color w:val="000000"/>
          <w:sz w:val="20"/>
          <w:szCs w:val="20"/>
        </w:rPr>
        <w:t>If the event that a patient experiences is a mild to moderate IRR (e.g. headache), the infusion rate should be reduced to half the rate at the time of the event.</w:t>
      </w:r>
    </w:p>
    <w:p w14:paraId="3AE73F65" w14:textId="77777777" w:rsidR="001848DB" w:rsidRPr="001848DB" w:rsidRDefault="001848DB" w:rsidP="001848DB">
      <w:pPr>
        <w:widowControl w:val="0"/>
        <w:numPr>
          <w:ilvl w:val="0"/>
          <w:numId w:val="10"/>
        </w:numPr>
        <w:autoSpaceDE w:val="0"/>
        <w:autoSpaceDN w:val="0"/>
        <w:adjustRightInd w:val="0"/>
        <w:spacing w:after="0" w:line="240" w:lineRule="auto"/>
        <w:rPr>
          <w:rFonts w:ascii="Tunga" w:eastAsia="Times New Roman" w:hAnsi="Tunga" w:cs="Tunga"/>
          <w:color w:val="000000"/>
          <w:sz w:val="20"/>
          <w:szCs w:val="20"/>
        </w:rPr>
      </w:pPr>
      <w:r w:rsidRPr="001848DB">
        <w:rPr>
          <w:rFonts w:ascii="Tunga" w:eastAsia="Times New Roman" w:hAnsi="Tunga" w:cs="Tunga"/>
          <w:color w:val="000000"/>
          <w:sz w:val="20"/>
          <w:szCs w:val="20"/>
        </w:rPr>
        <w:t xml:space="preserve">This reduced rate should be maintained for at least 30 minutes. If tolerated, the infusion rate may then be increased according to the patient’s initial infusion schedule. </w:t>
      </w:r>
    </w:p>
    <w:p w14:paraId="5477C634" w14:textId="77777777" w:rsidR="001848DB" w:rsidRPr="001848DB" w:rsidRDefault="001848DB" w:rsidP="001848DB">
      <w:pPr>
        <w:autoSpaceDE w:val="0"/>
        <w:autoSpaceDN w:val="0"/>
        <w:adjustRightInd w:val="0"/>
        <w:spacing w:after="0" w:line="240" w:lineRule="auto"/>
        <w:ind w:left="360"/>
        <w:rPr>
          <w:rFonts w:ascii="Tunga" w:eastAsia="Times New Roman" w:hAnsi="Tunga" w:cs="Tunga"/>
          <w:color w:val="000000"/>
          <w:sz w:val="20"/>
          <w:szCs w:val="20"/>
        </w:rPr>
      </w:pPr>
      <w:r w:rsidRPr="001848DB">
        <w:rPr>
          <w:rFonts w:ascii="Tunga" w:eastAsia="Times New Roman" w:hAnsi="Tunga" w:cs="Tunga"/>
          <w:color w:val="000000"/>
          <w:sz w:val="20"/>
          <w:szCs w:val="20"/>
        </w:rPr>
        <w:t>Severe IRR (or complex of flushing, fever, and throat pain)</w:t>
      </w:r>
    </w:p>
    <w:p w14:paraId="11FBA1CB" w14:textId="77777777" w:rsidR="001848DB" w:rsidRPr="001848DB" w:rsidRDefault="001848DB" w:rsidP="001848DB">
      <w:pPr>
        <w:widowControl w:val="0"/>
        <w:numPr>
          <w:ilvl w:val="0"/>
          <w:numId w:val="6"/>
        </w:numPr>
        <w:autoSpaceDE w:val="0"/>
        <w:autoSpaceDN w:val="0"/>
        <w:adjustRightInd w:val="0"/>
        <w:spacing w:after="0" w:line="240" w:lineRule="auto"/>
        <w:rPr>
          <w:rFonts w:ascii="Tunga" w:eastAsia="Times New Roman" w:hAnsi="Tunga" w:cs="Tunga"/>
          <w:color w:val="000000"/>
          <w:sz w:val="20"/>
          <w:szCs w:val="20"/>
        </w:rPr>
      </w:pPr>
      <w:r w:rsidRPr="001848DB">
        <w:rPr>
          <w:rFonts w:ascii="Tunga" w:eastAsia="Times New Roman" w:hAnsi="Tunga" w:cs="Tunga"/>
          <w:color w:val="000000"/>
          <w:sz w:val="20"/>
          <w:szCs w:val="20"/>
        </w:rPr>
        <w:t>Stop infusion and Call Infusion PI and PRA immediately</w:t>
      </w:r>
    </w:p>
    <w:p w14:paraId="7D7AA79C" w14:textId="77777777" w:rsidR="001848DB" w:rsidRPr="001848DB" w:rsidRDefault="001848DB" w:rsidP="001848DB">
      <w:pPr>
        <w:widowControl w:val="0"/>
        <w:numPr>
          <w:ilvl w:val="0"/>
          <w:numId w:val="6"/>
        </w:numPr>
        <w:autoSpaceDE w:val="0"/>
        <w:autoSpaceDN w:val="0"/>
        <w:adjustRightInd w:val="0"/>
        <w:spacing w:after="0" w:line="240" w:lineRule="auto"/>
        <w:rPr>
          <w:rFonts w:ascii="Tunga" w:eastAsia="Times New Roman" w:hAnsi="Tunga" w:cs="Tunga"/>
          <w:color w:val="000000"/>
          <w:sz w:val="20"/>
          <w:szCs w:val="20"/>
        </w:rPr>
      </w:pPr>
      <w:r w:rsidRPr="001848DB">
        <w:rPr>
          <w:rFonts w:ascii="Tunga" w:eastAsia="Times New Roman" w:hAnsi="Tunga" w:cs="Tunga"/>
          <w:color w:val="000000"/>
          <w:sz w:val="20"/>
          <w:szCs w:val="20"/>
        </w:rPr>
        <w:t>If a patient experiences a severe IRR or a complex of flushing, fever, and throat pain symptoms, the infusion should be interrupted immediately and the patient should receive symptomatic treatment.</w:t>
      </w:r>
    </w:p>
    <w:p w14:paraId="657CF4B8" w14:textId="77777777" w:rsidR="001848DB" w:rsidRPr="001848DB" w:rsidRDefault="001848DB" w:rsidP="001848DB">
      <w:pPr>
        <w:widowControl w:val="0"/>
        <w:numPr>
          <w:ilvl w:val="0"/>
          <w:numId w:val="6"/>
        </w:numPr>
        <w:autoSpaceDE w:val="0"/>
        <w:autoSpaceDN w:val="0"/>
        <w:adjustRightInd w:val="0"/>
        <w:spacing w:after="0" w:line="240" w:lineRule="auto"/>
        <w:rPr>
          <w:rFonts w:ascii="Tunga" w:eastAsia="Times New Roman" w:hAnsi="Tunga" w:cs="Tunga"/>
          <w:color w:val="000000"/>
          <w:sz w:val="20"/>
          <w:szCs w:val="20"/>
        </w:rPr>
      </w:pPr>
      <w:r w:rsidRPr="001848DB">
        <w:rPr>
          <w:rFonts w:ascii="Tunga" w:eastAsia="Times New Roman" w:hAnsi="Tunga" w:cs="Tunga"/>
          <w:color w:val="000000"/>
          <w:sz w:val="20"/>
          <w:szCs w:val="20"/>
        </w:rPr>
        <w:t>The infusion should be re-started only after all symptoms have resolved.</w:t>
      </w:r>
    </w:p>
    <w:p w14:paraId="05C52A2A" w14:textId="77777777" w:rsidR="001848DB" w:rsidRPr="001848DB" w:rsidRDefault="001848DB" w:rsidP="001848DB">
      <w:pPr>
        <w:widowControl w:val="0"/>
        <w:numPr>
          <w:ilvl w:val="0"/>
          <w:numId w:val="6"/>
        </w:numPr>
        <w:autoSpaceDE w:val="0"/>
        <w:autoSpaceDN w:val="0"/>
        <w:adjustRightInd w:val="0"/>
        <w:spacing w:after="0" w:line="240" w:lineRule="auto"/>
        <w:rPr>
          <w:rFonts w:ascii="Tunga" w:eastAsia="Times New Roman" w:hAnsi="Tunga" w:cs="Tunga"/>
          <w:color w:val="000000"/>
          <w:sz w:val="20"/>
          <w:szCs w:val="20"/>
        </w:rPr>
      </w:pPr>
      <w:r w:rsidRPr="001848DB">
        <w:rPr>
          <w:rFonts w:ascii="Tunga" w:eastAsia="Times New Roman" w:hAnsi="Tunga" w:cs="Tunga"/>
          <w:color w:val="000000"/>
          <w:sz w:val="20"/>
          <w:szCs w:val="20"/>
        </w:rPr>
        <w:t>The initial infusion rate at restart should be half of the infusion rate at the time of onset of the reaction</w:t>
      </w:r>
      <w:r w:rsidRPr="001848DB">
        <w:rPr>
          <w:rFonts w:ascii="Tunga" w:eastAsia="Times New Roman" w:hAnsi="Tunga" w:cs="Tunga"/>
          <w:b/>
          <w:color w:val="000000"/>
          <w:sz w:val="20"/>
          <w:szCs w:val="20"/>
        </w:rPr>
        <w:t xml:space="preserve"> </w:t>
      </w:r>
    </w:p>
    <w:p w14:paraId="77EF2F46" w14:textId="77777777" w:rsidR="001848DB" w:rsidRPr="001848DB" w:rsidRDefault="001848DB" w:rsidP="001848DB">
      <w:pPr>
        <w:autoSpaceDE w:val="0"/>
        <w:autoSpaceDN w:val="0"/>
        <w:adjustRightInd w:val="0"/>
        <w:spacing w:after="0" w:line="240" w:lineRule="auto"/>
        <w:ind w:left="360"/>
        <w:rPr>
          <w:rFonts w:ascii="Tunga" w:eastAsia="Times New Roman" w:hAnsi="Tunga" w:cs="Tunga"/>
          <w:color w:val="000000"/>
          <w:sz w:val="20"/>
          <w:szCs w:val="20"/>
        </w:rPr>
      </w:pPr>
      <w:r w:rsidRPr="001848DB">
        <w:rPr>
          <w:rFonts w:ascii="Tunga" w:eastAsia="Times New Roman" w:hAnsi="Tunga" w:cs="Tunga"/>
          <w:color w:val="000000"/>
          <w:sz w:val="20"/>
          <w:szCs w:val="20"/>
        </w:rPr>
        <w:t>Life-threatening or disabling IRR</w:t>
      </w:r>
    </w:p>
    <w:p w14:paraId="2DF57C1A" w14:textId="77777777" w:rsidR="001848DB" w:rsidRPr="001848DB" w:rsidRDefault="001848DB" w:rsidP="001848DB">
      <w:pPr>
        <w:widowControl w:val="0"/>
        <w:numPr>
          <w:ilvl w:val="0"/>
          <w:numId w:val="6"/>
        </w:numPr>
        <w:autoSpaceDE w:val="0"/>
        <w:autoSpaceDN w:val="0"/>
        <w:adjustRightInd w:val="0"/>
        <w:spacing w:after="0" w:line="240" w:lineRule="auto"/>
        <w:rPr>
          <w:rFonts w:ascii="Tunga" w:eastAsia="Times New Roman" w:hAnsi="Tunga" w:cs="Tunga"/>
          <w:color w:val="000000"/>
          <w:sz w:val="20"/>
          <w:szCs w:val="20"/>
        </w:rPr>
      </w:pPr>
      <w:r w:rsidRPr="001848DB">
        <w:rPr>
          <w:rFonts w:ascii="Tunga" w:eastAsia="Times New Roman" w:hAnsi="Tunga" w:cs="Tunga"/>
          <w:color w:val="000000"/>
          <w:sz w:val="20"/>
          <w:szCs w:val="20"/>
        </w:rPr>
        <w:t>Stop infusion and Call Infusion PI and PRA immediately</w:t>
      </w:r>
    </w:p>
    <w:p w14:paraId="3DA6CC09" w14:textId="77777777" w:rsidR="001848DB" w:rsidRPr="001848DB" w:rsidRDefault="001848DB" w:rsidP="001848DB">
      <w:pPr>
        <w:widowControl w:val="0"/>
        <w:numPr>
          <w:ilvl w:val="0"/>
          <w:numId w:val="6"/>
        </w:numPr>
        <w:autoSpaceDE w:val="0"/>
        <w:autoSpaceDN w:val="0"/>
        <w:adjustRightInd w:val="0"/>
        <w:spacing w:after="0" w:line="240" w:lineRule="auto"/>
        <w:rPr>
          <w:rFonts w:ascii="Tunga" w:eastAsia="Times New Roman" w:hAnsi="Tunga" w:cs="Tunga"/>
          <w:color w:val="000000"/>
          <w:sz w:val="20"/>
          <w:szCs w:val="20"/>
        </w:rPr>
      </w:pPr>
      <w:r w:rsidRPr="001848DB">
        <w:rPr>
          <w:rFonts w:ascii="Tunga" w:eastAsia="Times New Roman" w:hAnsi="Tunga" w:cs="Tunga"/>
          <w:color w:val="000000"/>
          <w:sz w:val="20"/>
          <w:szCs w:val="20"/>
        </w:rPr>
        <w:t>Immediately stop ocrelizumab if there are signs of a life-threatening or disabling IRR during an infusion, such as acute hypersensitivity or acute respiratory distress syndrome.</w:t>
      </w:r>
    </w:p>
    <w:p w14:paraId="42EE3FE6" w14:textId="77777777" w:rsidR="001848DB" w:rsidRPr="001848DB" w:rsidRDefault="001848DB" w:rsidP="001848DB">
      <w:pPr>
        <w:widowControl w:val="0"/>
        <w:numPr>
          <w:ilvl w:val="0"/>
          <w:numId w:val="6"/>
        </w:numPr>
        <w:autoSpaceDE w:val="0"/>
        <w:autoSpaceDN w:val="0"/>
        <w:adjustRightInd w:val="0"/>
        <w:spacing w:after="0" w:line="240" w:lineRule="auto"/>
        <w:rPr>
          <w:rFonts w:ascii="Tunga" w:eastAsia="Times New Roman" w:hAnsi="Tunga" w:cs="Tunga"/>
          <w:color w:val="000000"/>
          <w:sz w:val="20"/>
          <w:szCs w:val="20"/>
        </w:rPr>
      </w:pPr>
      <w:r w:rsidRPr="001848DB">
        <w:rPr>
          <w:rFonts w:ascii="Tunga" w:eastAsia="Times New Roman" w:hAnsi="Tunga" w:cs="Tunga"/>
          <w:color w:val="000000"/>
          <w:sz w:val="20"/>
          <w:szCs w:val="20"/>
        </w:rPr>
        <w:t>The patient should receive appropriate treatment.</w:t>
      </w:r>
    </w:p>
    <w:p w14:paraId="49163119" w14:textId="77777777" w:rsidR="001848DB" w:rsidRPr="001848DB" w:rsidRDefault="001848DB" w:rsidP="001848DB">
      <w:pPr>
        <w:widowControl w:val="0"/>
        <w:numPr>
          <w:ilvl w:val="0"/>
          <w:numId w:val="6"/>
        </w:numPr>
        <w:autoSpaceDE w:val="0"/>
        <w:autoSpaceDN w:val="0"/>
        <w:adjustRightInd w:val="0"/>
        <w:spacing w:after="0" w:line="240" w:lineRule="auto"/>
        <w:rPr>
          <w:rFonts w:ascii="Tunga" w:eastAsia="Times New Roman" w:hAnsi="Tunga" w:cs="Tunga"/>
          <w:color w:val="000000"/>
          <w:sz w:val="20"/>
          <w:szCs w:val="20"/>
        </w:rPr>
      </w:pPr>
      <w:r w:rsidRPr="001848DB">
        <w:rPr>
          <w:rFonts w:ascii="Tunga" w:eastAsia="Times New Roman" w:hAnsi="Tunga" w:cs="Tunga"/>
          <w:color w:val="000000"/>
          <w:sz w:val="20"/>
          <w:szCs w:val="20"/>
        </w:rPr>
        <w:lastRenderedPageBreak/>
        <w:t>Permanently discontinue ocrelizumab in these patients.</w:t>
      </w:r>
    </w:p>
    <w:p w14:paraId="73665E0D" w14:textId="77777777" w:rsidR="001848DB" w:rsidRPr="001848DB" w:rsidRDefault="001848DB" w:rsidP="001848DB">
      <w:pPr>
        <w:autoSpaceDE w:val="0"/>
        <w:autoSpaceDN w:val="0"/>
        <w:adjustRightInd w:val="0"/>
        <w:spacing w:after="0" w:line="240" w:lineRule="auto"/>
        <w:rPr>
          <w:rFonts w:ascii="Tunga" w:eastAsia="Times New Roman" w:hAnsi="Tunga" w:cs="Tunga"/>
          <w:color w:val="000000"/>
          <w:sz w:val="20"/>
          <w:szCs w:val="20"/>
        </w:rPr>
      </w:pPr>
      <w:r w:rsidRPr="001848DB">
        <w:rPr>
          <w:rFonts w:ascii="Tunga" w:eastAsia="Times New Roman" w:hAnsi="Tunga" w:cs="Tunga"/>
          <w:b/>
          <w:color w:val="000000"/>
          <w:sz w:val="20"/>
          <w:szCs w:val="20"/>
        </w:rPr>
        <w:t>End of Infusion</w:t>
      </w:r>
    </w:p>
    <w:p w14:paraId="39330DFC" w14:textId="08135098" w:rsidR="001848DB" w:rsidRPr="001848DB" w:rsidRDefault="001848DB" w:rsidP="001848DB">
      <w:pPr>
        <w:autoSpaceDE w:val="0"/>
        <w:autoSpaceDN w:val="0"/>
        <w:adjustRightInd w:val="0"/>
        <w:spacing w:after="0" w:line="240" w:lineRule="auto"/>
        <w:rPr>
          <w:rFonts w:ascii="Tunga" w:eastAsia="Times New Roman" w:hAnsi="Tunga" w:cs="Tunga"/>
          <w:color w:val="000000"/>
          <w:sz w:val="20"/>
          <w:szCs w:val="20"/>
        </w:rPr>
      </w:pPr>
      <w:r w:rsidRPr="001848DB">
        <w:rPr>
          <w:rFonts w:ascii="Tunga" w:eastAsia="Times New Roman" w:hAnsi="Tunga" w:cs="Tunga"/>
          <w:color w:val="000000"/>
          <w:sz w:val="20"/>
          <w:szCs w:val="20"/>
        </w:rPr>
        <w:t xml:space="preserve">The patient’s infusion site should be assessed for signs of any localized reaction during the infusion and for 30 minutes after the end of the infusion. The patient will remain at the study site for 1 hour following completion of dosing for observation and completion of assessments. </w:t>
      </w:r>
      <w:r w:rsidRPr="001848DB">
        <w:rPr>
          <w:rFonts w:ascii="Tunga" w:eastAsia="Times New Roman" w:hAnsi="Tunga" w:cs="Tunga"/>
          <w:b/>
          <w:snapToGrid w:val="0"/>
          <w:sz w:val="20"/>
          <w:szCs w:val="20"/>
        </w:rPr>
        <w:t>**</w:t>
      </w:r>
      <w:r w:rsidRPr="001848DB">
        <w:rPr>
          <w:rFonts w:ascii="Tunga" w:eastAsia="Times New Roman" w:hAnsi="Tunga" w:cs="Tunga"/>
          <w:snapToGrid w:val="0"/>
          <w:sz w:val="20"/>
          <w:szCs w:val="20"/>
        </w:rPr>
        <w:t>document any interruption or delay in infusion (delay type, time, duration, volume in bag at time of delay/interruption)</w:t>
      </w:r>
      <w:r>
        <w:rPr>
          <w:rFonts w:ascii="Tunga" w:eastAsia="Times New Roman" w:hAnsi="Tunga" w:cs="Tunga"/>
          <w:snapToGrid w:val="0"/>
          <w:sz w:val="20"/>
          <w:szCs w:val="20"/>
        </w:rPr>
        <w:t>**</w:t>
      </w:r>
    </w:p>
    <w:p w14:paraId="76AC60B9" w14:textId="77777777" w:rsidR="001848DB" w:rsidRPr="001848DB" w:rsidRDefault="001848DB" w:rsidP="001848DB">
      <w:pPr>
        <w:widowControl w:val="0"/>
        <w:spacing w:after="0" w:line="240" w:lineRule="auto"/>
        <w:rPr>
          <w:rFonts w:ascii="Tunga" w:eastAsia="Times New Roman" w:hAnsi="Tunga" w:cs="Tunga"/>
          <w:snapToGrid w:val="0"/>
          <w:sz w:val="20"/>
          <w:szCs w:val="20"/>
        </w:rPr>
      </w:pPr>
      <w:r w:rsidRPr="001848DB">
        <w:rPr>
          <w:rFonts w:ascii="Tunga" w:eastAsia="Times New Roman" w:hAnsi="Tunga" w:cs="Tunga"/>
          <w:snapToGrid w:val="0"/>
          <w:sz w:val="20"/>
          <w:szCs w:val="20"/>
        </w:rPr>
        <w:t>11)</w:t>
      </w:r>
      <w:r w:rsidRPr="001848DB">
        <w:rPr>
          <w:rFonts w:ascii="Tunga" w:eastAsia="Times New Roman" w:hAnsi="Tunga" w:cs="Tunga"/>
          <w:b/>
          <w:snapToGrid w:val="0"/>
          <w:sz w:val="20"/>
          <w:szCs w:val="20"/>
        </w:rPr>
        <w:tab/>
      </w:r>
      <w:r w:rsidRPr="001848DB">
        <w:rPr>
          <w:rFonts w:ascii="Tunga" w:eastAsia="Times New Roman" w:hAnsi="Tunga" w:cs="Tunga"/>
          <w:b/>
          <w:snapToGrid w:val="0"/>
          <w:sz w:val="20"/>
          <w:szCs w:val="20"/>
          <w:u w:val="single"/>
        </w:rPr>
        <w:t>Medication Orders:</w:t>
      </w:r>
      <w:r w:rsidRPr="001848DB">
        <w:rPr>
          <w:rFonts w:ascii="Tunga" w:eastAsia="Times New Roman" w:hAnsi="Tunga" w:cs="Tunga"/>
          <w:snapToGrid w:val="0"/>
          <w:sz w:val="20"/>
          <w:szCs w:val="20"/>
          <w:u w:val="single"/>
        </w:rPr>
        <w:t>-</w:t>
      </w:r>
    </w:p>
    <w:p w14:paraId="4E0793CA" w14:textId="77777777" w:rsidR="001848DB" w:rsidRPr="001848DB" w:rsidRDefault="001848DB" w:rsidP="001848DB">
      <w:pPr>
        <w:widowControl w:val="0"/>
        <w:spacing w:after="0" w:line="240" w:lineRule="auto"/>
        <w:rPr>
          <w:rFonts w:ascii="Tunga" w:eastAsia="Times New Roman" w:hAnsi="Tunga" w:cs="Tunga"/>
          <w:b/>
          <w:snapToGrid w:val="0"/>
          <w:sz w:val="20"/>
          <w:szCs w:val="20"/>
        </w:rPr>
      </w:pPr>
      <w:r w:rsidRPr="001848DB">
        <w:rPr>
          <w:rFonts w:ascii="Tunga" w:eastAsia="Times New Roman" w:hAnsi="Tunga" w:cs="Tunga"/>
          <w:snapToGrid w:val="0"/>
          <w:sz w:val="20"/>
          <w:szCs w:val="20"/>
        </w:rPr>
        <w:tab/>
      </w:r>
      <w:r w:rsidRPr="001848DB">
        <w:rPr>
          <w:rFonts w:ascii="Tunga" w:eastAsia="Times New Roman" w:hAnsi="Tunga" w:cs="Tunga"/>
          <w:snapToGrid w:val="0"/>
          <w:sz w:val="20"/>
          <w:szCs w:val="20"/>
        </w:rPr>
        <w:tab/>
      </w:r>
      <w:r w:rsidRPr="001848DB">
        <w:rPr>
          <w:rFonts w:ascii="Tunga" w:eastAsia="Times New Roman" w:hAnsi="Tunga" w:cs="Tunga"/>
          <w:b/>
          <w:snapToGrid w:val="0"/>
          <w:sz w:val="20"/>
          <w:szCs w:val="20"/>
        </w:rPr>
        <w:t xml:space="preserve">Predose:  </w:t>
      </w:r>
    </w:p>
    <w:p w14:paraId="13BD8C85" w14:textId="77777777" w:rsidR="001848DB" w:rsidRPr="001848DB" w:rsidRDefault="001848DB" w:rsidP="001848DB">
      <w:pPr>
        <w:widowControl w:val="0"/>
        <w:spacing w:after="0" w:line="240" w:lineRule="auto"/>
        <w:rPr>
          <w:rFonts w:ascii="Tunga" w:eastAsia="Times New Roman" w:hAnsi="Tunga" w:cs="Tunga"/>
          <w:snapToGrid w:val="0"/>
          <w:sz w:val="20"/>
          <w:szCs w:val="20"/>
        </w:rPr>
      </w:pPr>
      <w:r w:rsidRPr="001848DB">
        <w:rPr>
          <w:rFonts w:ascii="Tunga" w:eastAsia="Times New Roman" w:hAnsi="Tunga" w:cs="Tunga"/>
          <w:snapToGrid w:val="0"/>
          <w:sz w:val="20"/>
          <w:szCs w:val="20"/>
        </w:rPr>
        <w:t xml:space="preserve">Methylprednisolone 100 mg IVP x 1 (slow IV) </w:t>
      </w:r>
      <w:r w:rsidRPr="001848DB">
        <w:rPr>
          <w:rFonts w:ascii="Tunga" w:eastAsia="Times New Roman" w:hAnsi="Tunga" w:cs="Tunga"/>
          <w:b/>
          <w:snapToGrid w:val="0"/>
          <w:sz w:val="20"/>
          <w:szCs w:val="20"/>
        </w:rPr>
        <w:t>Administer 30-45 mins prior to the start of infusion of study drug</w:t>
      </w:r>
    </w:p>
    <w:p w14:paraId="69C47F83" w14:textId="77777777" w:rsidR="001848DB" w:rsidRPr="001848DB" w:rsidRDefault="001848DB" w:rsidP="001848DB">
      <w:pPr>
        <w:widowControl w:val="0"/>
        <w:spacing w:after="0" w:line="240" w:lineRule="auto"/>
        <w:rPr>
          <w:rFonts w:ascii="Tunga" w:eastAsia="Times New Roman" w:hAnsi="Tunga" w:cs="Tunga"/>
          <w:b/>
          <w:snapToGrid w:val="0"/>
          <w:sz w:val="20"/>
          <w:szCs w:val="20"/>
        </w:rPr>
      </w:pPr>
      <w:r w:rsidRPr="001848DB">
        <w:rPr>
          <w:rFonts w:ascii="Tunga" w:eastAsia="Times New Roman" w:hAnsi="Tunga" w:cs="Tunga"/>
          <w:snapToGrid w:val="0"/>
          <w:sz w:val="20"/>
          <w:szCs w:val="20"/>
        </w:rPr>
        <w:t xml:space="preserve">Benadryl 50mg IV x1 </w:t>
      </w:r>
      <w:r w:rsidRPr="001848DB">
        <w:rPr>
          <w:rFonts w:ascii="Tunga" w:eastAsia="Times New Roman" w:hAnsi="Tunga" w:cs="Tunga"/>
          <w:b/>
          <w:snapToGrid w:val="0"/>
          <w:sz w:val="20"/>
          <w:szCs w:val="20"/>
        </w:rPr>
        <w:t>Administer 60 minutes prior to start of infusion</w:t>
      </w:r>
    </w:p>
    <w:p w14:paraId="325CC372" w14:textId="77777777" w:rsidR="001848DB" w:rsidRPr="001848DB" w:rsidRDefault="001848DB" w:rsidP="001848DB">
      <w:pPr>
        <w:widowControl w:val="0"/>
        <w:spacing w:after="0" w:line="240" w:lineRule="auto"/>
        <w:rPr>
          <w:rFonts w:ascii="Tunga" w:eastAsia="Times New Roman" w:hAnsi="Tunga" w:cs="Tunga"/>
          <w:snapToGrid w:val="0"/>
          <w:sz w:val="20"/>
          <w:szCs w:val="20"/>
        </w:rPr>
      </w:pPr>
      <w:r w:rsidRPr="001848DB">
        <w:rPr>
          <w:rFonts w:ascii="Tunga" w:eastAsia="Times New Roman" w:hAnsi="Tunga" w:cs="Tunga"/>
          <w:snapToGrid w:val="0"/>
          <w:sz w:val="20"/>
          <w:szCs w:val="20"/>
        </w:rPr>
        <w:t>Tylenol 1000mg PO x1</w:t>
      </w:r>
    </w:p>
    <w:p w14:paraId="2BC2B3BF" w14:textId="77777777" w:rsidR="001848DB" w:rsidRPr="001848DB" w:rsidRDefault="001848DB" w:rsidP="001848DB">
      <w:pPr>
        <w:widowControl w:val="0"/>
        <w:spacing w:after="0" w:line="240" w:lineRule="auto"/>
        <w:ind w:left="1080" w:firstLine="720"/>
        <w:rPr>
          <w:rFonts w:ascii="Tunga" w:eastAsia="Times New Roman" w:hAnsi="Tunga" w:cs="Tunga"/>
          <w:snapToGrid w:val="0"/>
          <w:sz w:val="20"/>
          <w:szCs w:val="20"/>
        </w:rPr>
      </w:pPr>
    </w:p>
    <w:p w14:paraId="67767D3A" w14:textId="68078E70" w:rsidR="001848DB" w:rsidRDefault="001848DB" w:rsidP="001848DB">
      <w:pPr>
        <w:widowControl w:val="0"/>
        <w:numPr>
          <w:ilvl w:val="0"/>
          <w:numId w:val="7"/>
        </w:numPr>
        <w:spacing w:after="0" w:line="240" w:lineRule="auto"/>
        <w:rPr>
          <w:rFonts w:ascii="Tunga" w:eastAsia="Times New Roman" w:hAnsi="Tunga" w:cs="Tunga"/>
          <w:snapToGrid w:val="0"/>
          <w:sz w:val="20"/>
          <w:szCs w:val="20"/>
        </w:rPr>
      </w:pPr>
      <w:r w:rsidRPr="001848DB">
        <w:rPr>
          <w:rFonts w:ascii="Tunga" w:eastAsia="Times New Roman" w:hAnsi="Tunga" w:cs="Tunga"/>
          <w:snapToGrid w:val="0"/>
          <w:sz w:val="20"/>
          <w:szCs w:val="20"/>
        </w:rPr>
        <w:t>Record: Start Time (HH:MM) Stop Time (HH:MM), Amount Administered (mg), Volume (mL), Rate (mL/hr), Concentration (mg/mL) of Pre-Dose meds</w:t>
      </w:r>
    </w:p>
    <w:p w14:paraId="04F059E0" w14:textId="77777777" w:rsidR="001848DB" w:rsidRPr="001848DB" w:rsidRDefault="001848DB" w:rsidP="001848DB">
      <w:pPr>
        <w:widowControl w:val="0"/>
        <w:spacing w:after="0" w:line="240" w:lineRule="auto"/>
        <w:ind w:left="1440"/>
        <w:rPr>
          <w:rFonts w:ascii="Tunga" w:eastAsia="Times New Roman" w:hAnsi="Tunga" w:cs="Tunga"/>
          <w:snapToGrid w:val="0"/>
          <w:sz w:val="20"/>
          <w:szCs w:val="20"/>
        </w:rPr>
      </w:pPr>
    </w:p>
    <w:p w14:paraId="47AF07EA" w14:textId="17E47979" w:rsidR="001848DB" w:rsidRPr="001848DB" w:rsidRDefault="001848DB" w:rsidP="001848DB">
      <w:pPr>
        <w:widowControl w:val="0"/>
        <w:spacing w:after="0" w:line="240" w:lineRule="auto"/>
        <w:ind w:firstLine="720"/>
        <w:rPr>
          <w:rFonts w:ascii="Tunga" w:eastAsia="Times New Roman" w:hAnsi="Tunga" w:cs="Tunga"/>
          <w:snapToGrid w:val="0"/>
          <w:sz w:val="20"/>
          <w:szCs w:val="20"/>
        </w:rPr>
      </w:pPr>
      <w:r>
        <w:rPr>
          <w:rFonts w:ascii="Tunga" w:eastAsia="Times New Roman" w:hAnsi="Tunga" w:cs="Tunga"/>
          <w:b/>
          <w:bCs/>
          <w:snapToGrid w:val="0"/>
          <w:sz w:val="20"/>
          <w:szCs w:val="20"/>
        </w:rPr>
        <w:t xml:space="preserve">              </w:t>
      </w:r>
      <w:r w:rsidRPr="001848DB">
        <w:rPr>
          <w:rFonts w:ascii="Tunga" w:eastAsia="Times New Roman" w:hAnsi="Tunga" w:cs="Tunga"/>
          <w:b/>
          <w:bCs/>
          <w:snapToGrid w:val="0"/>
          <w:sz w:val="20"/>
          <w:szCs w:val="20"/>
        </w:rPr>
        <w:t>Study Drug:</w:t>
      </w:r>
      <w:r>
        <w:rPr>
          <w:rFonts w:ascii="Tunga" w:eastAsia="Times New Roman" w:hAnsi="Tunga" w:cs="Tunga"/>
          <w:snapToGrid w:val="0"/>
          <w:sz w:val="20"/>
          <w:szCs w:val="20"/>
        </w:rPr>
        <w:t xml:space="preserve"> </w:t>
      </w:r>
      <w:r w:rsidRPr="001848DB">
        <w:rPr>
          <w:rFonts w:ascii="Tunga" w:eastAsia="Times New Roman" w:hAnsi="Tunga" w:cs="Tunga"/>
          <w:snapToGrid w:val="0"/>
          <w:sz w:val="20"/>
          <w:szCs w:val="20"/>
        </w:rPr>
        <w:t>Administe</w:t>
      </w:r>
      <w:r>
        <w:rPr>
          <w:rFonts w:ascii="Tunga" w:eastAsia="Times New Roman" w:hAnsi="Tunga" w:cs="Tunga"/>
          <w:snapToGrid w:val="0"/>
          <w:sz w:val="20"/>
          <w:szCs w:val="20"/>
        </w:rPr>
        <w:t xml:space="preserve">r </w:t>
      </w:r>
      <w:r w:rsidRPr="001848DB">
        <w:rPr>
          <w:rFonts w:ascii="Tunga" w:eastAsia="Times New Roman" w:hAnsi="Tunga" w:cs="Tunga"/>
          <w:snapToGrid w:val="0"/>
          <w:sz w:val="20"/>
          <w:szCs w:val="20"/>
        </w:rPr>
        <w:t xml:space="preserve">Ocrelizumab 300mg/250ml 0.9% NS (RO4964913) IV Infusion over approximately 150 minutes </w:t>
      </w:r>
    </w:p>
    <w:p w14:paraId="20CF80CA" w14:textId="77777777" w:rsidR="001848DB" w:rsidRPr="001848DB" w:rsidRDefault="001848DB" w:rsidP="001848DB">
      <w:pPr>
        <w:widowControl w:val="0"/>
        <w:numPr>
          <w:ilvl w:val="0"/>
          <w:numId w:val="2"/>
        </w:numPr>
        <w:spacing w:after="0" w:line="240" w:lineRule="auto"/>
        <w:rPr>
          <w:rFonts w:ascii="Tunga" w:eastAsia="Times New Roman" w:hAnsi="Tunga" w:cs="Tunga"/>
          <w:snapToGrid w:val="0"/>
          <w:sz w:val="20"/>
          <w:szCs w:val="20"/>
        </w:rPr>
      </w:pPr>
      <w:r w:rsidRPr="001848DB">
        <w:rPr>
          <w:rFonts w:ascii="Tunga" w:eastAsia="Times New Roman" w:hAnsi="Tunga" w:cs="Tunga"/>
          <w:snapToGrid w:val="0"/>
          <w:sz w:val="20"/>
          <w:szCs w:val="20"/>
        </w:rPr>
        <w:t>PRA to transport from pharmacy to CTRC</w:t>
      </w:r>
    </w:p>
    <w:p w14:paraId="538C849F" w14:textId="77777777" w:rsidR="001848DB" w:rsidRPr="001848DB" w:rsidRDefault="001848DB" w:rsidP="001848DB">
      <w:pPr>
        <w:widowControl w:val="0"/>
        <w:numPr>
          <w:ilvl w:val="0"/>
          <w:numId w:val="2"/>
        </w:numPr>
        <w:spacing w:after="0" w:line="240" w:lineRule="auto"/>
        <w:rPr>
          <w:rFonts w:ascii="Tunga" w:eastAsia="Times New Roman" w:hAnsi="Tunga" w:cs="Tunga"/>
          <w:snapToGrid w:val="0"/>
          <w:sz w:val="20"/>
          <w:szCs w:val="20"/>
        </w:rPr>
      </w:pPr>
      <w:r w:rsidRPr="001848DB">
        <w:rPr>
          <w:rFonts w:ascii="Tunga" w:eastAsia="Times New Roman" w:hAnsi="Tunga" w:cs="Tunga"/>
          <w:snapToGrid w:val="0"/>
          <w:sz w:val="20"/>
          <w:szCs w:val="20"/>
        </w:rPr>
        <w:t xml:space="preserve">Prepare infusion tubing (including filter) and all infusion procedures </w:t>
      </w:r>
    </w:p>
    <w:p w14:paraId="50C8AD4A" w14:textId="77777777" w:rsidR="001848DB" w:rsidRPr="001848DB" w:rsidRDefault="001848DB" w:rsidP="001848DB">
      <w:pPr>
        <w:widowControl w:val="0"/>
        <w:numPr>
          <w:ilvl w:val="0"/>
          <w:numId w:val="2"/>
        </w:numPr>
        <w:spacing w:after="0" w:line="240" w:lineRule="auto"/>
        <w:rPr>
          <w:rFonts w:ascii="Tunga" w:eastAsia="Times New Roman" w:hAnsi="Tunga" w:cs="Tunga"/>
          <w:snapToGrid w:val="0"/>
          <w:sz w:val="20"/>
          <w:szCs w:val="20"/>
        </w:rPr>
      </w:pPr>
      <w:r w:rsidRPr="001848DB">
        <w:rPr>
          <w:rFonts w:ascii="Tunga" w:eastAsia="Times New Roman" w:hAnsi="Tunga" w:cs="Tunga"/>
          <w:snapToGrid w:val="0"/>
          <w:sz w:val="20"/>
          <w:szCs w:val="20"/>
        </w:rPr>
        <w:t xml:space="preserve">Start at 32 mL per hour, increase per the Infusion Rate Table below. </w:t>
      </w:r>
    </w:p>
    <w:p w14:paraId="3DACCE71" w14:textId="77777777" w:rsidR="001848DB" w:rsidRPr="001848DB" w:rsidRDefault="001848DB" w:rsidP="001848DB">
      <w:pPr>
        <w:widowControl w:val="0"/>
        <w:spacing w:after="0" w:line="240" w:lineRule="auto"/>
        <w:ind w:left="1800"/>
        <w:rPr>
          <w:rFonts w:ascii="Tunga" w:eastAsia="Times New Roman" w:hAnsi="Tunga" w:cs="Tunga"/>
          <w:snapToGrid w:val="0"/>
          <w:sz w:val="20"/>
          <w:szCs w:val="20"/>
        </w:rPr>
      </w:pPr>
      <w:r w:rsidRPr="001848DB">
        <w:rPr>
          <w:rFonts w:ascii="Tunga" w:eastAsia="Times New Roman" w:hAnsi="Tunga" w:cs="Tunga"/>
          <w:snapToGrid w:val="0"/>
          <w:sz w:val="20"/>
          <w:szCs w:val="20"/>
        </w:rPr>
        <w:t>Maximum Infusion Rate: 194 mL per hour</w:t>
      </w:r>
    </w:p>
    <w:p w14:paraId="2978A7BC" w14:textId="77777777" w:rsidR="001848DB" w:rsidRPr="001848DB" w:rsidRDefault="001848DB" w:rsidP="001848DB">
      <w:pPr>
        <w:widowControl w:val="0"/>
        <w:numPr>
          <w:ilvl w:val="0"/>
          <w:numId w:val="2"/>
        </w:numPr>
        <w:spacing w:after="0" w:line="240" w:lineRule="auto"/>
        <w:rPr>
          <w:rFonts w:ascii="Tunga" w:eastAsia="Times New Roman" w:hAnsi="Tunga" w:cs="Tunga"/>
          <w:snapToGrid w:val="0"/>
          <w:sz w:val="20"/>
          <w:szCs w:val="20"/>
        </w:rPr>
      </w:pPr>
      <w:r w:rsidRPr="001848DB">
        <w:rPr>
          <w:rFonts w:ascii="Tunga" w:eastAsia="Times New Roman" w:hAnsi="Tunga" w:cs="Tunga"/>
          <w:snapToGrid w:val="0"/>
          <w:sz w:val="20"/>
          <w:szCs w:val="20"/>
        </w:rPr>
        <w:t xml:space="preserve">Infusion Nurse: </w:t>
      </w:r>
    </w:p>
    <w:p w14:paraId="14C7933E" w14:textId="77777777" w:rsidR="001848DB" w:rsidRPr="001848DB" w:rsidRDefault="001848DB" w:rsidP="001848DB">
      <w:pPr>
        <w:widowControl w:val="0"/>
        <w:spacing w:after="0" w:line="240" w:lineRule="auto"/>
        <w:ind w:left="1800" w:firstLine="360"/>
        <w:rPr>
          <w:rFonts w:ascii="Tunga" w:eastAsia="Times New Roman" w:hAnsi="Tunga" w:cs="Tunga"/>
          <w:snapToGrid w:val="0"/>
          <w:sz w:val="20"/>
          <w:szCs w:val="20"/>
        </w:rPr>
      </w:pPr>
      <w:r w:rsidRPr="001848DB">
        <w:rPr>
          <w:rFonts w:ascii="Tunga" w:eastAsia="Times New Roman" w:hAnsi="Tunga" w:cs="Tunga"/>
          <w:snapToGrid w:val="0"/>
          <w:sz w:val="20"/>
          <w:szCs w:val="20"/>
        </w:rPr>
        <w:t>Record:</w:t>
      </w:r>
    </w:p>
    <w:p w14:paraId="476870FD" w14:textId="77777777" w:rsidR="001848DB" w:rsidRPr="001848DB" w:rsidRDefault="001848DB" w:rsidP="001848DB">
      <w:pPr>
        <w:widowControl w:val="0"/>
        <w:numPr>
          <w:ilvl w:val="1"/>
          <w:numId w:val="2"/>
        </w:numPr>
        <w:spacing w:after="0" w:line="240" w:lineRule="auto"/>
        <w:rPr>
          <w:rFonts w:ascii="Tunga" w:eastAsia="Times New Roman" w:hAnsi="Tunga" w:cs="Tunga"/>
          <w:snapToGrid w:val="0"/>
          <w:sz w:val="20"/>
          <w:szCs w:val="20"/>
        </w:rPr>
      </w:pPr>
      <w:r w:rsidRPr="001848DB">
        <w:rPr>
          <w:rFonts w:ascii="Tunga" w:eastAsia="Times New Roman" w:hAnsi="Tunga" w:cs="Tunga"/>
          <w:snapToGrid w:val="0"/>
          <w:sz w:val="20"/>
          <w:szCs w:val="20"/>
        </w:rPr>
        <w:t>Start Time (HH:MM)</w:t>
      </w:r>
    </w:p>
    <w:p w14:paraId="0CC36DFC" w14:textId="4885000E" w:rsidR="001848DB" w:rsidRPr="001848DB" w:rsidRDefault="001848DB" w:rsidP="001848DB">
      <w:pPr>
        <w:widowControl w:val="0"/>
        <w:numPr>
          <w:ilvl w:val="1"/>
          <w:numId w:val="2"/>
        </w:numPr>
        <w:spacing w:after="0" w:line="240" w:lineRule="auto"/>
        <w:rPr>
          <w:rFonts w:ascii="Tunga" w:eastAsia="Times New Roman" w:hAnsi="Tunga" w:cs="Tunga"/>
          <w:snapToGrid w:val="0"/>
          <w:sz w:val="20"/>
          <w:szCs w:val="20"/>
        </w:rPr>
      </w:pPr>
      <w:r w:rsidRPr="001848DB">
        <w:rPr>
          <w:rFonts w:ascii="Tunga" w:eastAsia="Times New Roman" w:hAnsi="Tunga" w:cs="Tunga"/>
          <w:snapToGrid w:val="0"/>
          <w:sz w:val="20"/>
          <w:szCs w:val="20"/>
        </w:rPr>
        <w:t xml:space="preserve">Stop Time (HH:MM) </w:t>
      </w:r>
      <w:r>
        <w:rPr>
          <w:rFonts w:ascii="Tunga" w:eastAsia="Times New Roman" w:hAnsi="Tunga" w:cs="Tunga"/>
          <w:snapToGrid w:val="0"/>
          <w:sz w:val="20"/>
          <w:szCs w:val="20"/>
        </w:rPr>
        <w:t>(</w:t>
      </w:r>
      <w:r w:rsidRPr="001848DB">
        <w:rPr>
          <w:rFonts w:ascii="Tunga" w:eastAsia="Times New Roman" w:hAnsi="Tunga" w:cs="Tunga"/>
          <w:snapToGrid w:val="0"/>
          <w:sz w:val="20"/>
          <w:szCs w:val="20"/>
        </w:rPr>
        <w:t>Stop time is when the flush is completed</w:t>
      </w:r>
      <w:r>
        <w:rPr>
          <w:rFonts w:ascii="Tunga" w:eastAsia="Times New Roman" w:hAnsi="Tunga" w:cs="Tunga"/>
          <w:snapToGrid w:val="0"/>
          <w:sz w:val="20"/>
          <w:szCs w:val="20"/>
        </w:rPr>
        <w:t>)</w:t>
      </w:r>
    </w:p>
    <w:p w14:paraId="405F0861" w14:textId="77777777" w:rsidR="001848DB" w:rsidRPr="001848DB" w:rsidRDefault="001848DB" w:rsidP="001848DB">
      <w:pPr>
        <w:widowControl w:val="0"/>
        <w:numPr>
          <w:ilvl w:val="1"/>
          <w:numId w:val="2"/>
        </w:numPr>
        <w:spacing w:after="0" w:line="240" w:lineRule="auto"/>
        <w:rPr>
          <w:rFonts w:ascii="Tunga" w:eastAsia="Times New Roman" w:hAnsi="Tunga" w:cs="Tunga"/>
          <w:snapToGrid w:val="0"/>
          <w:sz w:val="20"/>
          <w:szCs w:val="20"/>
        </w:rPr>
      </w:pPr>
      <w:r w:rsidRPr="001848DB">
        <w:rPr>
          <w:rFonts w:ascii="Tunga" w:eastAsia="Times New Roman" w:hAnsi="Tunga" w:cs="Tunga"/>
          <w:snapToGrid w:val="0"/>
          <w:sz w:val="20"/>
          <w:szCs w:val="20"/>
        </w:rPr>
        <w:t>Amount Administered (mg)</w:t>
      </w:r>
    </w:p>
    <w:p w14:paraId="18D1550C" w14:textId="77777777" w:rsidR="001848DB" w:rsidRPr="001848DB" w:rsidRDefault="001848DB" w:rsidP="001848DB">
      <w:pPr>
        <w:widowControl w:val="0"/>
        <w:numPr>
          <w:ilvl w:val="1"/>
          <w:numId w:val="2"/>
        </w:numPr>
        <w:spacing w:after="0" w:line="240" w:lineRule="auto"/>
        <w:rPr>
          <w:rFonts w:ascii="Tunga" w:eastAsia="Times New Roman" w:hAnsi="Tunga" w:cs="Tunga"/>
          <w:snapToGrid w:val="0"/>
          <w:sz w:val="20"/>
          <w:szCs w:val="20"/>
        </w:rPr>
      </w:pPr>
      <w:r w:rsidRPr="001848DB">
        <w:rPr>
          <w:rFonts w:ascii="Tunga" w:eastAsia="Times New Roman" w:hAnsi="Tunga" w:cs="Tunga"/>
          <w:snapToGrid w:val="0"/>
          <w:sz w:val="20"/>
          <w:szCs w:val="20"/>
        </w:rPr>
        <w:t>Volume (mL) Record mL from pump at end of flush</w:t>
      </w:r>
    </w:p>
    <w:p w14:paraId="31B85EBD" w14:textId="77777777" w:rsidR="001848DB" w:rsidRPr="001848DB" w:rsidRDefault="001848DB" w:rsidP="001848DB">
      <w:pPr>
        <w:widowControl w:val="0"/>
        <w:numPr>
          <w:ilvl w:val="1"/>
          <w:numId w:val="2"/>
        </w:numPr>
        <w:spacing w:after="0" w:line="240" w:lineRule="auto"/>
        <w:rPr>
          <w:rFonts w:ascii="Tunga" w:eastAsia="Times New Roman" w:hAnsi="Tunga" w:cs="Tunga"/>
          <w:snapToGrid w:val="0"/>
          <w:sz w:val="20"/>
          <w:szCs w:val="20"/>
        </w:rPr>
      </w:pPr>
      <w:r w:rsidRPr="001848DB">
        <w:rPr>
          <w:rFonts w:ascii="Tunga" w:eastAsia="Times New Roman" w:hAnsi="Tunga" w:cs="Tunga"/>
          <w:snapToGrid w:val="0"/>
          <w:sz w:val="20"/>
          <w:szCs w:val="20"/>
        </w:rPr>
        <w:t>Rate (mL/hr)</w:t>
      </w:r>
    </w:p>
    <w:p w14:paraId="0917470A" w14:textId="77777777" w:rsidR="001848DB" w:rsidRPr="001848DB" w:rsidRDefault="001848DB" w:rsidP="001848DB">
      <w:pPr>
        <w:widowControl w:val="0"/>
        <w:numPr>
          <w:ilvl w:val="1"/>
          <w:numId w:val="2"/>
        </w:numPr>
        <w:spacing w:after="0" w:line="240" w:lineRule="auto"/>
        <w:rPr>
          <w:rFonts w:ascii="Tunga" w:eastAsia="Times New Roman" w:hAnsi="Tunga" w:cs="Tunga"/>
          <w:snapToGrid w:val="0"/>
          <w:sz w:val="20"/>
          <w:szCs w:val="20"/>
        </w:rPr>
      </w:pPr>
      <w:r w:rsidRPr="001848DB">
        <w:rPr>
          <w:rFonts w:ascii="Tunga" w:eastAsia="Times New Roman" w:hAnsi="Tunga" w:cs="Tunga"/>
          <w:snapToGrid w:val="0"/>
          <w:sz w:val="20"/>
          <w:szCs w:val="20"/>
        </w:rPr>
        <w:t>Concentration (mg/mL)</w:t>
      </w:r>
    </w:p>
    <w:p w14:paraId="5D0CFDF5" w14:textId="77777777" w:rsidR="001848DB" w:rsidRPr="001848DB" w:rsidRDefault="001848DB" w:rsidP="001848DB">
      <w:pPr>
        <w:widowControl w:val="0"/>
        <w:numPr>
          <w:ilvl w:val="1"/>
          <w:numId w:val="2"/>
        </w:numPr>
        <w:spacing w:after="0" w:line="240" w:lineRule="auto"/>
        <w:rPr>
          <w:rFonts w:ascii="Tunga" w:eastAsia="Times New Roman" w:hAnsi="Tunga" w:cs="Tunga"/>
          <w:snapToGrid w:val="0"/>
          <w:sz w:val="20"/>
          <w:szCs w:val="20"/>
        </w:rPr>
      </w:pPr>
      <w:r w:rsidRPr="001848DB">
        <w:rPr>
          <w:rFonts w:ascii="Tunga" w:eastAsia="Times New Roman" w:hAnsi="Tunga" w:cs="Tunga"/>
          <w:snapToGrid w:val="0"/>
          <w:sz w:val="20"/>
          <w:szCs w:val="20"/>
        </w:rPr>
        <w:t>Was there an infusion interruption?  If yes, please document delay type, time, and duration</w:t>
      </w:r>
    </w:p>
    <w:p w14:paraId="56778A1A" w14:textId="39C16893" w:rsidR="001848DB" w:rsidRPr="001848DB" w:rsidRDefault="001848DB" w:rsidP="001848DB">
      <w:pPr>
        <w:widowControl w:val="0"/>
        <w:spacing w:after="0" w:line="240" w:lineRule="auto"/>
        <w:rPr>
          <w:rFonts w:ascii="Tunga" w:eastAsia="Times New Roman" w:hAnsi="Tunga" w:cs="Tunga"/>
          <w:b/>
          <w:snapToGrid w:val="0"/>
          <w:sz w:val="20"/>
          <w:szCs w:val="20"/>
        </w:rPr>
      </w:pPr>
      <w:r w:rsidRPr="001848DB">
        <w:rPr>
          <w:rFonts w:ascii="Tunga" w:eastAsia="Times New Roman" w:hAnsi="Tunga" w:cs="Tunga"/>
          <w:b/>
          <w:noProof/>
          <w:snapToGrid w:val="0"/>
          <w:sz w:val="20"/>
          <w:szCs w:val="20"/>
        </w:rPr>
        <w:drawing>
          <wp:inline distT="0" distB="0" distL="0" distR="0" wp14:anchorId="432D83F0" wp14:editId="12F51281">
            <wp:extent cx="4762500" cy="185957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8058" cy="1869555"/>
                    </a:xfrm>
                    <a:prstGeom prst="rect">
                      <a:avLst/>
                    </a:prstGeom>
                    <a:noFill/>
                    <a:ln>
                      <a:noFill/>
                    </a:ln>
                  </pic:spPr>
                </pic:pic>
              </a:graphicData>
            </a:graphic>
          </wp:inline>
        </w:drawing>
      </w:r>
    </w:p>
    <w:p w14:paraId="42F9E914" w14:textId="77777777" w:rsidR="001848DB" w:rsidRPr="001848DB" w:rsidRDefault="001848DB" w:rsidP="001848DB">
      <w:pPr>
        <w:widowControl w:val="0"/>
        <w:spacing w:after="0" w:line="240" w:lineRule="auto"/>
        <w:ind w:left="720"/>
        <w:rPr>
          <w:rFonts w:ascii="Tunga" w:eastAsia="Times New Roman" w:hAnsi="Tunga" w:cs="Tunga"/>
          <w:b/>
          <w:snapToGrid w:val="0"/>
          <w:sz w:val="20"/>
          <w:szCs w:val="20"/>
        </w:rPr>
      </w:pPr>
      <w:r w:rsidRPr="001848DB">
        <w:rPr>
          <w:rFonts w:ascii="Tunga" w:eastAsia="Times New Roman" w:hAnsi="Tunga" w:cs="Tunga"/>
          <w:b/>
          <w:snapToGrid w:val="0"/>
          <w:sz w:val="20"/>
          <w:szCs w:val="20"/>
        </w:rPr>
        <w:t>PRN Meds: DO NOT GIVE ANY MEDS WITHOUT CALLING PI FIRST (route, dosing, frequency, and parameters to be determined by Dr. Alavrez or Dr. Vollmer)</w:t>
      </w:r>
    </w:p>
    <w:p w14:paraId="086F71BF" w14:textId="77777777" w:rsidR="001848DB" w:rsidRPr="001848DB" w:rsidRDefault="001848DB" w:rsidP="001848DB">
      <w:pPr>
        <w:spacing w:before="100" w:beforeAutospacing="1" w:after="100" w:afterAutospacing="1" w:line="240" w:lineRule="auto"/>
        <w:rPr>
          <w:rFonts w:ascii="Tunga" w:eastAsia="Times New Roman" w:hAnsi="Tunga" w:cs="Tunga"/>
          <w:sz w:val="20"/>
          <w:szCs w:val="24"/>
        </w:rPr>
      </w:pPr>
      <w:r w:rsidRPr="001848DB">
        <w:rPr>
          <w:rFonts w:ascii="Tunga" w:eastAsia="Times New Roman" w:hAnsi="Tunga" w:cs="Tunga"/>
          <w:b/>
          <w:sz w:val="20"/>
          <w:szCs w:val="24"/>
        </w:rPr>
        <w:tab/>
      </w:r>
      <w:r w:rsidRPr="001848DB">
        <w:rPr>
          <w:rFonts w:ascii="Tunga" w:eastAsia="Times New Roman" w:hAnsi="Tunga" w:cs="Tunga"/>
          <w:color w:val="FF0000"/>
          <w:sz w:val="20"/>
          <w:szCs w:val="24"/>
        </w:rPr>
        <w:t xml:space="preserve"> </w:t>
      </w:r>
      <w:r w:rsidRPr="001848DB">
        <w:rPr>
          <w:rFonts w:ascii="Tunga" w:eastAsia="Times New Roman" w:hAnsi="Tunga" w:cs="Tunga"/>
          <w:color w:val="FF0000"/>
          <w:sz w:val="20"/>
          <w:szCs w:val="24"/>
        </w:rPr>
        <w:tab/>
      </w:r>
      <w:r w:rsidRPr="001848DB">
        <w:rPr>
          <w:rFonts w:ascii="Tunga" w:eastAsia="Times New Roman" w:hAnsi="Tunga" w:cs="Tunga"/>
          <w:sz w:val="20"/>
          <w:szCs w:val="24"/>
        </w:rPr>
        <w:t>Tylenol 1000mg PO Q 4-6 HR PRN for Pain or Temperature &gt; 38</w:t>
      </w:r>
    </w:p>
    <w:p w14:paraId="366B58D2" w14:textId="77777777" w:rsidR="001848DB" w:rsidRPr="001848DB" w:rsidRDefault="001848DB" w:rsidP="001848DB">
      <w:pPr>
        <w:spacing w:before="100" w:beforeAutospacing="1" w:after="100" w:afterAutospacing="1" w:line="240" w:lineRule="auto"/>
        <w:ind w:left="720" w:firstLine="720"/>
        <w:rPr>
          <w:rFonts w:ascii="Tunga" w:eastAsia="Times New Roman" w:hAnsi="Tunga" w:cs="Tunga"/>
          <w:sz w:val="20"/>
          <w:szCs w:val="24"/>
        </w:rPr>
      </w:pPr>
      <w:r w:rsidRPr="001848DB">
        <w:rPr>
          <w:rFonts w:ascii="Tunga" w:eastAsia="Times New Roman" w:hAnsi="Tunga" w:cs="Tunga"/>
          <w:sz w:val="20"/>
          <w:szCs w:val="24"/>
        </w:rPr>
        <w:lastRenderedPageBreak/>
        <w:t>Benadryl 50 mg  IV Q 8 HRS PRN for rash or itching</w:t>
      </w:r>
    </w:p>
    <w:p w14:paraId="4F3B3F1D" w14:textId="77777777" w:rsidR="001848DB" w:rsidRPr="001848DB" w:rsidRDefault="001848DB" w:rsidP="001848DB">
      <w:pPr>
        <w:spacing w:before="100" w:beforeAutospacing="1" w:after="100" w:afterAutospacing="1" w:line="240" w:lineRule="auto"/>
        <w:ind w:left="720" w:firstLine="720"/>
        <w:rPr>
          <w:rFonts w:ascii="Tunga" w:eastAsia="Times New Roman" w:hAnsi="Tunga" w:cs="Tunga"/>
          <w:sz w:val="20"/>
          <w:szCs w:val="24"/>
        </w:rPr>
      </w:pPr>
      <w:r w:rsidRPr="001848DB">
        <w:rPr>
          <w:rFonts w:ascii="Tunga" w:eastAsia="Times New Roman" w:hAnsi="Tunga" w:cs="Tunga"/>
          <w:sz w:val="20"/>
          <w:szCs w:val="24"/>
        </w:rPr>
        <w:t>Compazine 5mg PO or IV Q6HRS PRN for nausea or vomiting</w:t>
      </w:r>
    </w:p>
    <w:p w14:paraId="2EF118AC" w14:textId="77777777" w:rsidR="001848DB" w:rsidRPr="001848DB" w:rsidRDefault="001848DB" w:rsidP="001848DB">
      <w:pPr>
        <w:spacing w:before="100" w:beforeAutospacing="1" w:after="100" w:afterAutospacing="1" w:line="240" w:lineRule="auto"/>
        <w:ind w:left="720" w:firstLine="720"/>
        <w:rPr>
          <w:rFonts w:ascii="Tunga" w:eastAsia="Times New Roman" w:hAnsi="Tunga" w:cs="Tunga"/>
          <w:sz w:val="20"/>
          <w:szCs w:val="24"/>
        </w:rPr>
      </w:pPr>
      <w:r w:rsidRPr="001848DB">
        <w:rPr>
          <w:rFonts w:ascii="Tunga" w:eastAsia="Times New Roman" w:hAnsi="Tunga" w:cs="Tunga"/>
          <w:sz w:val="20"/>
          <w:szCs w:val="24"/>
        </w:rPr>
        <w:t>If systolic BP &lt;90 please call for parameters and begin NSS IV for hypotension at 100cc/hr</w:t>
      </w:r>
    </w:p>
    <w:p w14:paraId="724C4FDB" w14:textId="77777777" w:rsidR="001848DB" w:rsidRPr="001848DB" w:rsidRDefault="001848DB" w:rsidP="001848DB">
      <w:pPr>
        <w:spacing w:before="100" w:beforeAutospacing="1" w:after="100" w:afterAutospacing="1" w:line="240" w:lineRule="auto"/>
        <w:ind w:left="720" w:firstLine="720"/>
        <w:rPr>
          <w:rFonts w:ascii="Tahoma" w:eastAsia="Times New Roman" w:hAnsi="Tahoma" w:cs="Tahoma"/>
          <w:vanish/>
          <w:sz w:val="12"/>
          <w:szCs w:val="12"/>
        </w:rPr>
      </w:pPr>
      <w:r w:rsidRPr="001848DB">
        <w:rPr>
          <w:rFonts w:ascii="Tahoma" w:eastAsia="Times New Roman" w:hAnsi="Tahoma" w:cs="Tahoma"/>
          <w:vanish/>
          <w:sz w:val="12"/>
          <w:szCs w:val="12"/>
        </w:rPr>
        <w:t>Tylenol 650 mg PO every 4-6 hours PRN pain or temperature &gt; 38 degrees C Benadryl 25 mg PO or IV every 8 hours PRN rash or itching Compazine 5 mg PO or IV every 6 hours PRN nausea or vomiting Normal saline (they should call us to determine rate) if this is needed for hypotension.</w:t>
      </w:r>
    </w:p>
    <w:p w14:paraId="74A0686F" w14:textId="77777777" w:rsidR="001848DB" w:rsidRPr="001848DB" w:rsidRDefault="001848DB" w:rsidP="001848DB">
      <w:pPr>
        <w:spacing w:before="100" w:beforeAutospacing="1" w:after="100" w:afterAutospacing="1" w:line="240" w:lineRule="auto"/>
        <w:rPr>
          <w:rFonts w:ascii="Tahoma" w:eastAsia="Times New Roman" w:hAnsi="Tahoma" w:cs="Tahoma"/>
          <w:vanish/>
          <w:sz w:val="12"/>
          <w:szCs w:val="12"/>
        </w:rPr>
      </w:pPr>
      <w:r w:rsidRPr="001848DB">
        <w:rPr>
          <w:rFonts w:ascii="Tahoma" w:eastAsia="Times New Roman" w:hAnsi="Tahoma" w:cs="Tahoma"/>
          <w:vanish/>
          <w:sz w:val="12"/>
          <w:szCs w:val="12"/>
        </w:rPr>
        <w:t>Tylenol 650 mg PO every 4-6 hours PRN pain or temperature &gt; 38 degrees C Benadryl 25 mg PO or IV every 8 hours PRN rash or itching Compazine 5 mg PO or IV every 6 hours PRN nausea or vomiting Normal saline (they should call us to determine rate) if this is needed for hypotension.</w:t>
      </w:r>
    </w:p>
    <w:p w14:paraId="48D36F79" w14:textId="77777777" w:rsidR="001848DB" w:rsidRPr="001848DB" w:rsidRDefault="001848DB" w:rsidP="001848DB">
      <w:pPr>
        <w:spacing w:before="100" w:beforeAutospacing="1" w:after="100" w:afterAutospacing="1" w:line="240" w:lineRule="auto"/>
        <w:rPr>
          <w:rFonts w:ascii="Tahoma" w:eastAsia="Times New Roman" w:hAnsi="Tahoma" w:cs="Tahoma"/>
          <w:vanish/>
          <w:sz w:val="12"/>
          <w:szCs w:val="12"/>
        </w:rPr>
      </w:pPr>
      <w:r w:rsidRPr="001848DB">
        <w:rPr>
          <w:rFonts w:ascii="Tahoma" w:eastAsia="Times New Roman" w:hAnsi="Tahoma" w:cs="Tahoma"/>
          <w:vanish/>
          <w:sz w:val="12"/>
          <w:szCs w:val="12"/>
        </w:rPr>
        <w:t>Tylenol 650 mg PO every 4-6 hours PRN pain or temperature &gt; 38 degrees C Benadryl 25 mg PO or IV every 8 hours PRN rash or itching Compazine 5 mg PO or IV every 6 hours PRN nausea or vomiting Normal saline (they should call us to determine rate) if this is needed for hypotension.</w:t>
      </w:r>
    </w:p>
    <w:p w14:paraId="72684640" w14:textId="77777777" w:rsidR="001848DB" w:rsidRPr="001848DB" w:rsidRDefault="001848DB" w:rsidP="001848DB">
      <w:pPr>
        <w:widowControl w:val="0"/>
        <w:spacing w:after="0" w:line="240" w:lineRule="auto"/>
        <w:ind w:left="720" w:firstLine="720"/>
        <w:rPr>
          <w:rFonts w:ascii="Tunga" w:eastAsia="Times New Roman" w:hAnsi="Tunga" w:cs="Tunga"/>
          <w:snapToGrid w:val="0"/>
          <w:color w:val="FF0000"/>
          <w:sz w:val="20"/>
          <w:szCs w:val="20"/>
        </w:rPr>
      </w:pPr>
    </w:p>
    <w:p w14:paraId="255C0887" w14:textId="77777777" w:rsidR="001848DB" w:rsidRPr="001848DB" w:rsidRDefault="001848DB" w:rsidP="001848DB">
      <w:pPr>
        <w:widowControl w:val="0"/>
        <w:spacing w:after="0" w:line="240" w:lineRule="auto"/>
        <w:rPr>
          <w:rFonts w:ascii="Tunga" w:eastAsia="Times New Roman" w:hAnsi="Tunga" w:cs="Tunga"/>
          <w:b/>
          <w:snapToGrid w:val="0"/>
          <w:sz w:val="20"/>
          <w:szCs w:val="20"/>
        </w:rPr>
      </w:pPr>
      <w:r w:rsidRPr="001848DB">
        <w:rPr>
          <w:rFonts w:ascii="Tunga" w:eastAsia="Times New Roman" w:hAnsi="Tunga" w:cs="Tunga"/>
          <w:snapToGrid w:val="0"/>
          <w:sz w:val="20"/>
          <w:szCs w:val="20"/>
        </w:rPr>
        <w:t>12)</w:t>
      </w:r>
      <w:r w:rsidRPr="001848DB">
        <w:rPr>
          <w:rFonts w:ascii="Tunga" w:eastAsia="Times New Roman" w:hAnsi="Tunga" w:cs="Tunga"/>
          <w:snapToGrid w:val="0"/>
          <w:sz w:val="20"/>
          <w:szCs w:val="20"/>
        </w:rPr>
        <w:tab/>
      </w:r>
      <w:r w:rsidRPr="001848DB">
        <w:rPr>
          <w:rFonts w:ascii="Tunga" w:eastAsia="Times New Roman" w:hAnsi="Tunga" w:cs="Tunga"/>
          <w:b/>
          <w:snapToGrid w:val="0"/>
          <w:sz w:val="20"/>
          <w:szCs w:val="20"/>
        </w:rPr>
        <w:t xml:space="preserve">Procedures for Protocol: </w:t>
      </w:r>
    </w:p>
    <w:p w14:paraId="56BFDF82" w14:textId="77777777" w:rsidR="001848DB" w:rsidRPr="001848DB" w:rsidRDefault="001848DB" w:rsidP="001848DB">
      <w:pPr>
        <w:widowControl w:val="0"/>
        <w:spacing w:after="0" w:line="240" w:lineRule="auto"/>
        <w:ind w:left="720"/>
        <w:rPr>
          <w:rFonts w:ascii="Tunga" w:eastAsia="Times New Roman" w:hAnsi="Tunga" w:cs="Tunga"/>
          <w:snapToGrid w:val="0"/>
          <w:sz w:val="20"/>
          <w:szCs w:val="20"/>
        </w:rPr>
      </w:pPr>
      <w:r w:rsidRPr="001848DB">
        <w:rPr>
          <w:rFonts w:ascii="Tunga" w:eastAsia="Times New Roman" w:hAnsi="Tunga" w:cs="Tunga"/>
          <w:b/>
          <w:snapToGrid w:val="0"/>
          <w:sz w:val="20"/>
          <w:szCs w:val="20"/>
        </w:rPr>
        <w:t>A) Venous Access:</w:t>
      </w:r>
      <w:r w:rsidRPr="001848DB">
        <w:rPr>
          <w:rFonts w:ascii="Tunga" w:eastAsia="Times New Roman" w:hAnsi="Tunga" w:cs="Tunga"/>
          <w:snapToGrid w:val="0"/>
          <w:sz w:val="20"/>
          <w:szCs w:val="20"/>
        </w:rPr>
        <w:t xml:space="preserve">  Insert 18-22 Gauge PIV for infusion, if unsuccessful after 3 attempts please call PRA. </w:t>
      </w:r>
    </w:p>
    <w:p w14:paraId="19EE6E79" w14:textId="77777777" w:rsidR="001848DB" w:rsidRPr="001848DB" w:rsidRDefault="001848DB" w:rsidP="001848DB">
      <w:pPr>
        <w:widowControl w:val="0"/>
        <w:spacing w:after="0" w:line="240" w:lineRule="auto"/>
        <w:ind w:left="720"/>
        <w:rPr>
          <w:rFonts w:ascii="Tunga" w:eastAsia="Times New Roman" w:hAnsi="Tunga" w:cs="Tunga"/>
          <w:snapToGrid w:val="0"/>
          <w:sz w:val="20"/>
          <w:szCs w:val="20"/>
        </w:rPr>
      </w:pPr>
    </w:p>
    <w:p w14:paraId="6B10CF2D" w14:textId="4C0ADC55" w:rsidR="001848DB" w:rsidRDefault="001848DB" w:rsidP="001848DB">
      <w:pPr>
        <w:autoSpaceDE w:val="0"/>
        <w:autoSpaceDN w:val="0"/>
        <w:adjustRightInd w:val="0"/>
        <w:spacing w:after="0" w:line="240" w:lineRule="auto"/>
        <w:ind w:left="720"/>
        <w:rPr>
          <w:rFonts w:ascii="Tunga" w:eastAsia="Times New Roman" w:hAnsi="Tunga" w:cs="Tunga"/>
          <w:b/>
          <w:snapToGrid w:val="0"/>
          <w:sz w:val="20"/>
          <w:szCs w:val="24"/>
        </w:rPr>
      </w:pPr>
      <w:r w:rsidRPr="001848DB">
        <w:rPr>
          <w:rFonts w:ascii="Tunga" w:eastAsia="Times New Roman" w:hAnsi="Tunga" w:cs="Tunga"/>
          <w:b/>
          <w:snapToGrid w:val="0"/>
          <w:sz w:val="20"/>
          <w:szCs w:val="24"/>
        </w:rPr>
        <w:t>B) Labs (Blood): PRA will notify if labs are needed day of appointment</w:t>
      </w:r>
    </w:p>
    <w:p w14:paraId="57B397FF" w14:textId="6678DF07" w:rsidR="001848DB" w:rsidRPr="001848DB" w:rsidRDefault="001848DB" w:rsidP="001848DB">
      <w:pPr>
        <w:autoSpaceDE w:val="0"/>
        <w:autoSpaceDN w:val="0"/>
        <w:adjustRightInd w:val="0"/>
        <w:spacing w:after="0" w:line="240" w:lineRule="auto"/>
        <w:ind w:left="720"/>
        <w:rPr>
          <w:rFonts w:ascii="Tunga" w:eastAsia="Times New Roman" w:hAnsi="Tunga" w:cs="Tunga"/>
          <w:snapToGrid w:val="0"/>
          <w:sz w:val="20"/>
          <w:szCs w:val="24"/>
          <w:u w:val="single"/>
        </w:rPr>
      </w:pPr>
      <w:r w:rsidRPr="001848DB">
        <w:rPr>
          <w:rFonts w:ascii="Tunga" w:eastAsia="Times New Roman" w:hAnsi="Tunga" w:cs="Tunga"/>
          <w:b/>
          <w:snapToGrid w:val="0"/>
          <w:sz w:val="20"/>
          <w:szCs w:val="24"/>
          <w:u w:val="single"/>
        </w:rPr>
        <w:t>To Study Team:</w:t>
      </w:r>
      <w:r>
        <w:rPr>
          <w:rFonts w:ascii="Tunga" w:eastAsia="Times New Roman" w:hAnsi="Tunga" w:cs="Tunga"/>
          <w:b/>
          <w:snapToGrid w:val="0"/>
          <w:sz w:val="20"/>
          <w:szCs w:val="24"/>
          <w:u w:val="single"/>
        </w:rPr>
        <w:t xml:space="preserve"> tubes provided</w:t>
      </w:r>
      <w:r w:rsidR="002C46AC">
        <w:rPr>
          <w:rFonts w:ascii="Tunga" w:eastAsia="Times New Roman" w:hAnsi="Tunga" w:cs="Tunga"/>
          <w:b/>
          <w:snapToGrid w:val="0"/>
          <w:sz w:val="20"/>
          <w:szCs w:val="24"/>
          <w:u w:val="single"/>
        </w:rPr>
        <w:t>, study team to process</w:t>
      </w:r>
      <w:r>
        <w:rPr>
          <w:rFonts w:ascii="Tunga" w:eastAsia="Times New Roman" w:hAnsi="Tunga" w:cs="Tunga"/>
          <w:b/>
          <w:snapToGrid w:val="0"/>
          <w:sz w:val="20"/>
          <w:szCs w:val="24"/>
          <w:u w:val="single"/>
        </w:rPr>
        <w:t xml:space="preserve"> </w:t>
      </w:r>
    </w:p>
    <w:p w14:paraId="48C6E88F" w14:textId="77777777" w:rsidR="001848DB" w:rsidRPr="001848DB" w:rsidRDefault="001848DB" w:rsidP="001848DB">
      <w:pPr>
        <w:widowControl w:val="0"/>
        <w:autoSpaceDE w:val="0"/>
        <w:autoSpaceDN w:val="0"/>
        <w:adjustRightInd w:val="0"/>
        <w:spacing w:after="0" w:line="240" w:lineRule="auto"/>
        <w:ind w:left="720"/>
        <w:rPr>
          <w:rFonts w:ascii="Tunga" w:eastAsia="Times New Roman" w:hAnsi="Tunga" w:cs="Tunga"/>
          <w:snapToGrid w:val="0"/>
          <w:sz w:val="20"/>
          <w:szCs w:val="20"/>
        </w:rPr>
      </w:pPr>
      <w:r w:rsidRPr="001848DB">
        <w:rPr>
          <w:rFonts w:ascii="Tunga" w:eastAsia="Times New Roman" w:hAnsi="Tunga" w:cs="Tunga"/>
          <w:snapToGrid w:val="0"/>
          <w:sz w:val="20"/>
          <w:szCs w:val="20"/>
        </w:rPr>
        <w:t>PK Sample collection 5-30 prior to methylprednisone medication infusion</w:t>
      </w:r>
    </w:p>
    <w:p w14:paraId="11D496FC" w14:textId="64899286" w:rsidR="001848DB" w:rsidRPr="001848DB" w:rsidRDefault="001848DB" w:rsidP="001848DB">
      <w:pPr>
        <w:widowControl w:val="0"/>
        <w:autoSpaceDE w:val="0"/>
        <w:autoSpaceDN w:val="0"/>
        <w:adjustRightInd w:val="0"/>
        <w:spacing w:after="0" w:line="240" w:lineRule="auto"/>
        <w:ind w:left="720"/>
        <w:rPr>
          <w:rFonts w:ascii="Tunga" w:eastAsia="Times New Roman" w:hAnsi="Tunga" w:cs="Tunga"/>
          <w:snapToGrid w:val="0"/>
          <w:sz w:val="20"/>
          <w:szCs w:val="20"/>
        </w:rPr>
      </w:pPr>
      <w:r w:rsidRPr="001848DB">
        <w:rPr>
          <w:rFonts w:ascii="Tunga" w:eastAsia="Times New Roman" w:hAnsi="Tunga" w:cs="Tunga"/>
          <w:snapToGrid w:val="0"/>
          <w:sz w:val="20"/>
          <w:szCs w:val="20"/>
        </w:rPr>
        <w:t xml:space="preserve">PK Sample collection 2 hours +/- 10 min </w:t>
      </w:r>
      <w:r>
        <w:rPr>
          <w:rFonts w:ascii="Tunga" w:eastAsia="Times New Roman" w:hAnsi="Tunga" w:cs="Tunga"/>
          <w:snapToGrid w:val="0"/>
          <w:sz w:val="20"/>
          <w:szCs w:val="20"/>
        </w:rPr>
        <w:t>after</w:t>
      </w:r>
      <w:r w:rsidRPr="001848DB">
        <w:rPr>
          <w:rFonts w:ascii="Tunga" w:eastAsia="Times New Roman" w:hAnsi="Tunga" w:cs="Tunga"/>
          <w:snapToGrid w:val="0"/>
          <w:sz w:val="20"/>
          <w:szCs w:val="20"/>
        </w:rPr>
        <w:t xml:space="preserve"> infusion start </w:t>
      </w:r>
    </w:p>
    <w:p w14:paraId="23B0FDA4" w14:textId="293475C2" w:rsidR="001848DB" w:rsidRPr="001848DB" w:rsidRDefault="001848DB" w:rsidP="001848DB">
      <w:pPr>
        <w:widowControl w:val="0"/>
        <w:autoSpaceDE w:val="0"/>
        <w:autoSpaceDN w:val="0"/>
        <w:adjustRightInd w:val="0"/>
        <w:spacing w:after="0" w:line="240" w:lineRule="auto"/>
        <w:ind w:left="720"/>
        <w:rPr>
          <w:rFonts w:ascii="Tunga" w:eastAsia="Times New Roman" w:hAnsi="Tunga" w:cs="Tunga"/>
          <w:snapToGrid w:val="0"/>
          <w:sz w:val="20"/>
          <w:szCs w:val="20"/>
        </w:rPr>
      </w:pPr>
      <w:r w:rsidRPr="001848DB">
        <w:rPr>
          <w:rFonts w:ascii="Tunga" w:eastAsia="Times New Roman" w:hAnsi="Tunga" w:cs="Tunga"/>
          <w:snapToGrid w:val="0"/>
          <w:sz w:val="20"/>
          <w:szCs w:val="20"/>
        </w:rPr>
        <w:t>PK Sample collection 30 min post completion</w:t>
      </w:r>
      <w:r>
        <w:rPr>
          <w:rFonts w:ascii="Tunga" w:eastAsia="Times New Roman" w:hAnsi="Tunga" w:cs="Tunga"/>
          <w:snapToGrid w:val="0"/>
          <w:sz w:val="20"/>
          <w:szCs w:val="20"/>
        </w:rPr>
        <w:t xml:space="preserve"> o</w:t>
      </w:r>
      <w:r w:rsidRPr="001848DB">
        <w:rPr>
          <w:rFonts w:ascii="Tunga" w:eastAsia="Times New Roman" w:hAnsi="Tunga" w:cs="Tunga"/>
          <w:snapToGrid w:val="0"/>
          <w:sz w:val="20"/>
          <w:szCs w:val="20"/>
        </w:rPr>
        <w:t>f the infusion +/- 10 min</w:t>
      </w:r>
    </w:p>
    <w:p w14:paraId="57FF49FA" w14:textId="0F593548" w:rsidR="001848DB" w:rsidRPr="001848DB" w:rsidRDefault="001848DB" w:rsidP="001848DB">
      <w:pPr>
        <w:autoSpaceDE w:val="0"/>
        <w:autoSpaceDN w:val="0"/>
        <w:adjustRightInd w:val="0"/>
        <w:spacing w:after="0" w:line="240" w:lineRule="auto"/>
        <w:ind w:left="720"/>
        <w:rPr>
          <w:rFonts w:ascii="Tunga" w:eastAsia="Times New Roman" w:hAnsi="Tunga" w:cs="Tunga"/>
          <w:b/>
          <w:snapToGrid w:val="0"/>
          <w:sz w:val="20"/>
          <w:szCs w:val="20"/>
          <w:u w:val="single"/>
        </w:rPr>
      </w:pPr>
      <w:r w:rsidRPr="001848DB">
        <w:rPr>
          <w:rFonts w:ascii="Tunga" w:eastAsia="Times New Roman" w:hAnsi="Tunga" w:cs="Tunga"/>
          <w:b/>
          <w:snapToGrid w:val="0"/>
          <w:sz w:val="20"/>
          <w:szCs w:val="20"/>
          <w:u w:val="single"/>
        </w:rPr>
        <w:t>Send to Clinical Lab</w:t>
      </w:r>
      <w:r>
        <w:rPr>
          <w:rFonts w:ascii="Tunga" w:eastAsia="Times New Roman" w:hAnsi="Tunga" w:cs="Tunga"/>
          <w:b/>
          <w:snapToGrid w:val="0"/>
          <w:sz w:val="20"/>
          <w:szCs w:val="20"/>
          <w:u w:val="single"/>
        </w:rPr>
        <w:t>:</w:t>
      </w:r>
      <w:r w:rsidRPr="001848DB">
        <w:rPr>
          <w:rFonts w:ascii="Tunga" w:eastAsia="Times New Roman" w:hAnsi="Tunga" w:cs="Tunga"/>
          <w:snapToGrid w:val="0"/>
          <w:sz w:val="20"/>
          <w:szCs w:val="20"/>
          <w:u w:val="single"/>
        </w:rPr>
        <w:t xml:space="preserve"> To be collected 5-30 mins before pre-dose</w:t>
      </w:r>
    </w:p>
    <w:p w14:paraId="77C5EE02" w14:textId="77777777" w:rsidR="001848DB" w:rsidRPr="001848DB" w:rsidRDefault="001848DB" w:rsidP="001848DB">
      <w:pPr>
        <w:autoSpaceDE w:val="0"/>
        <w:autoSpaceDN w:val="0"/>
        <w:adjustRightInd w:val="0"/>
        <w:spacing w:after="0" w:line="240" w:lineRule="auto"/>
        <w:ind w:left="720"/>
        <w:rPr>
          <w:rFonts w:ascii="Tunga" w:eastAsia="Times New Roman" w:hAnsi="Tunga" w:cs="Tunga"/>
          <w:b/>
          <w:snapToGrid w:val="0"/>
          <w:sz w:val="20"/>
          <w:szCs w:val="20"/>
        </w:rPr>
      </w:pPr>
      <w:r w:rsidRPr="001848DB">
        <w:rPr>
          <w:rFonts w:ascii="Tunga" w:eastAsia="Times New Roman" w:hAnsi="Tunga" w:cs="Tunga"/>
          <w:b/>
          <w:snapToGrid w:val="0"/>
          <w:sz w:val="20"/>
          <w:szCs w:val="20"/>
        </w:rPr>
        <w:t>Labs must result prior to dosing, notify MD of any abnormal labs</w:t>
      </w:r>
    </w:p>
    <w:p w14:paraId="7F48BC08" w14:textId="54147854" w:rsidR="001848DB" w:rsidRPr="001848DB" w:rsidRDefault="001848DB" w:rsidP="001848DB">
      <w:pPr>
        <w:autoSpaceDE w:val="0"/>
        <w:autoSpaceDN w:val="0"/>
        <w:adjustRightInd w:val="0"/>
        <w:spacing w:after="0" w:line="240" w:lineRule="auto"/>
        <w:ind w:left="720"/>
        <w:rPr>
          <w:rFonts w:ascii="Tunga" w:eastAsia="Times New Roman" w:hAnsi="Tunga" w:cs="Tunga"/>
          <w:snapToGrid w:val="0"/>
          <w:sz w:val="20"/>
          <w:szCs w:val="24"/>
        </w:rPr>
      </w:pPr>
      <w:r w:rsidRPr="001848DB">
        <w:rPr>
          <w:rFonts w:ascii="Tunga" w:eastAsia="Times New Roman" w:hAnsi="Tunga" w:cs="Tunga"/>
          <w:snapToGrid w:val="0"/>
          <w:sz w:val="20"/>
          <w:szCs w:val="24"/>
        </w:rPr>
        <w:t>CBC with auto differential</w:t>
      </w:r>
    </w:p>
    <w:p w14:paraId="4C686734" w14:textId="77777777" w:rsidR="002C46AC" w:rsidRDefault="001848DB" w:rsidP="001848DB">
      <w:pPr>
        <w:autoSpaceDE w:val="0"/>
        <w:autoSpaceDN w:val="0"/>
        <w:adjustRightInd w:val="0"/>
        <w:spacing w:after="0" w:line="240" w:lineRule="auto"/>
        <w:ind w:left="720"/>
        <w:rPr>
          <w:rFonts w:ascii="Tunga" w:eastAsia="Times New Roman" w:hAnsi="Tunga" w:cs="Tunga"/>
          <w:snapToGrid w:val="0"/>
          <w:sz w:val="20"/>
          <w:szCs w:val="24"/>
        </w:rPr>
      </w:pPr>
      <w:r w:rsidRPr="001848DB">
        <w:rPr>
          <w:rFonts w:ascii="Tunga" w:eastAsia="Times New Roman" w:hAnsi="Tunga" w:cs="Tunga"/>
          <w:snapToGrid w:val="0"/>
          <w:sz w:val="20"/>
          <w:szCs w:val="24"/>
        </w:rPr>
        <w:t>Comprehensive metabolic panel</w:t>
      </w:r>
    </w:p>
    <w:p w14:paraId="2462821C" w14:textId="0D7FE5B5" w:rsidR="001848DB" w:rsidRPr="001848DB" w:rsidRDefault="001848DB" w:rsidP="001848DB">
      <w:pPr>
        <w:autoSpaceDE w:val="0"/>
        <w:autoSpaceDN w:val="0"/>
        <w:adjustRightInd w:val="0"/>
        <w:spacing w:after="0" w:line="240" w:lineRule="auto"/>
        <w:ind w:left="720"/>
        <w:rPr>
          <w:rFonts w:ascii="Tunga" w:eastAsia="Times New Roman" w:hAnsi="Tunga" w:cs="Tunga"/>
          <w:snapToGrid w:val="0"/>
          <w:sz w:val="20"/>
          <w:szCs w:val="24"/>
        </w:rPr>
      </w:pPr>
      <w:r w:rsidRPr="001848DB">
        <w:rPr>
          <w:rFonts w:ascii="Tunga" w:eastAsia="Times New Roman" w:hAnsi="Tunga" w:cs="Tunga"/>
          <w:snapToGrid w:val="0"/>
          <w:sz w:val="20"/>
          <w:szCs w:val="24"/>
        </w:rPr>
        <w:t>GGT</w:t>
      </w:r>
    </w:p>
    <w:p w14:paraId="722621BE" w14:textId="7EE59F3A" w:rsidR="001848DB" w:rsidRPr="001848DB" w:rsidRDefault="001848DB" w:rsidP="001848DB">
      <w:pPr>
        <w:autoSpaceDE w:val="0"/>
        <w:autoSpaceDN w:val="0"/>
        <w:adjustRightInd w:val="0"/>
        <w:spacing w:after="0" w:line="240" w:lineRule="auto"/>
        <w:ind w:left="720"/>
        <w:rPr>
          <w:rFonts w:ascii="Tunga" w:eastAsia="Times New Roman" w:hAnsi="Tunga" w:cs="Tunga"/>
          <w:snapToGrid w:val="0"/>
          <w:sz w:val="20"/>
          <w:szCs w:val="24"/>
        </w:rPr>
      </w:pPr>
      <w:r w:rsidRPr="001848DB">
        <w:rPr>
          <w:rFonts w:ascii="Tunga" w:eastAsia="Times New Roman" w:hAnsi="Tunga" w:cs="Tunga"/>
          <w:snapToGrid w:val="0"/>
          <w:sz w:val="20"/>
          <w:szCs w:val="24"/>
        </w:rPr>
        <w:t>CD19+ and T-cell Counts (CD4+, CD8+) (T and B cell Panel: LAB 3053)</w:t>
      </w:r>
    </w:p>
    <w:p w14:paraId="16145156" w14:textId="77777777" w:rsidR="001848DB" w:rsidRPr="001848DB" w:rsidRDefault="001848DB" w:rsidP="001848DB">
      <w:pPr>
        <w:autoSpaceDE w:val="0"/>
        <w:autoSpaceDN w:val="0"/>
        <w:adjustRightInd w:val="0"/>
        <w:spacing w:after="0" w:line="240" w:lineRule="auto"/>
        <w:ind w:left="720"/>
        <w:rPr>
          <w:rFonts w:ascii="Tunga" w:eastAsia="Times New Roman" w:hAnsi="Tunga" w:cs="Tunga"/>
          <w:b/>
          <w:snapToGrid w:val="0"/>
          <w:sz w:val="20"/>
          <w:szCs w:val="24"/>
        </w:rPr>
      </w:pPr>
      <w:r w:rsidRPr="001848DB">
        <w:rPr>
          <w:rFonts w:ascii="Tunga" w:eastAsia="Times New Roman" w:hAnsi="Tunga" w:cs="Tunga"/>
          <w:b/>
          <w:snapToGrid w:val="0"/>
          <w:sz w:val="20"/>
          <w:szCs w:val="24"/>
        </w:rPr>
        <w:t>C) Labs (Urine):</w:t>
      </w:r>
    </w:p>
    <w:p w14:paraId="24811B79" w14:textId="77777777" w:rsidR="001848DB" w:rsidRPr="001848DB" w:rsidRDefault="001848DB" w:rsidP="001848DB">
      <w:pPr>
        <w:autoSpaceDE w:val="0"/>
        <w:autoSpaceDN w:val="0"/>
        <w:adjustRightInd w:val="0"/>
        <w:spacing w:after="0" w:line="240" w:lineRule="auto"/>
        <w:ind w:left="720"/>
        <w:rPr>
          <w:rFonts w:ascii="Tunga" w:eastAsia="Times New Roman" w:hAnsi="Tunga" w:cs="Tunga"/>
          <w:snapToGrid w:val="0"/>
          <w:sz w:val="20"/>
          <w:szCs w:val="24"/>
        </w:rPr>
      </w:pPr>
      <w:r w:rsidRPr="001848DB">
        <w:rPr>
          <w:rFonts w:ascii="Tunga" w:eastAsia="Times New Roman" w:hAnsi="Tunga" w:cs="Tunga"/>
          <w:snapToGrid w:val="0"/>
          <w:sz w:val="20"/>
          <w:szCs w:val="24"/>
        </w:rPr>
        <w:t xml:space="preserve">Urine pregnancy test to be completed 5-30 minutes before pre-dose in all women of child bearing potential. </w:t>
      </w:r>
    </w:p>
    <w:p w14:paraId="0807B286" w14:textId="77777777" w:rsidR="001848DB" w:rsidRPr="001848DB" w:rsidRDefault="001848DB" w:rsidP="001848DB">
      <w:pPr>
        <w:autoSpaceDE w:val="0"/>
        <w:autoSpaceDN w:val="0"/>
        <w:adjustRightInd w:val="0"/>
        <w:spacing w:after="0" w:line="240" w:lineRule="auto"/>
        <w:ind w:left="720"/>
        <w:rPr>
          <w:rFonts w:ascii="Tunga" w:eastAsia="Times New Roman" w:hAnsi="Tunga" w:cs="Tunga"/>
          <w:snapToGrid w:val="0"/>
          <w:sz w:val="20"/>
          <w:szCs w:val="24"/>
        </w:rPr>
      </w:pPr>
      <w:r w:rsidRPr="001848DB">
        <w:rPr>
          <w:rFonts w:ascii="Tunga" w:eastAsia="Times New Roman" w:hAnsi="Tunga" w:cs="Tunga"/>
          <w:snapToGrid w:val="0"/>
          <w:sz w:val="20"/>
          <w:szCs w:val="24"/>
        </w:rPr>
        <w:t>Urinalysis : send to clinical lab (optional, study staff will notify if needed on day of appointment)</w:t>
      </w:r>
    </w:p>
    <w:p w14:paraId="2A586FAF" w14:textId="77777777" w:rsidR="001848DB" w:rsidRPr="001848DB" w:rsidRDefault="001848DB" w:rsidP="001848DB">
      <w:pPr>
        <w:autoSpaceDE w:val="0"/>
        <w:autoSpaceDN w:val="0"/>
        <w:adjustRightInd w:val="0"/>
        <w:spacing w:after="0" w:line="240" w:lineRule="auto"/>
        <w:ind w:left="720"/>
        <w:rPr>
          <w:rFonts w:ascii="Tunga" w:eastAsia="Times New Roman" w:hAnsi="Tunga" w:cs="Tunga"/>
          <w:snapToGrid w:val="0"/>
          <w:sz w:val="20"/>
          <w:szCs w:val="24"/>
        </w:rPr>
      </w:pPr>
    </w:p>
    <w:p w14:paraId="1DC15E79" w14:textId="11ABE32F" w:rsidR="001848DB" w:rsidRPr="001848DB" w:rsidRDefault="001848DB" w:rsidP="001848DB">
      <w:pPr>
        <w:widowControl w:val="0"/>
        <w:spacing w:after="0" w:line="240" w:lineRule="auto"/>
        <w:ind w:left="720"/>
        <w:rPr>
          <w:rFonts w:ascii="Tunga" w:eastAsia="Times New Roman" w:hAnsi="Tunga" w:cs="Tunga"/>
          <w:snapToGrid w:val="0"/>
          <w:sz w:val="20"/>
          <w:szCs w:val="20"/>
        </w:rPr>
      </w:pPr>
      <w:r w:rsidRPr="001848DB">
        <w:rPr>
          <w:rFonts w:ascii="Tunga" w:eastAsia="Times New Roman" w:hAnsi="Tunga" w:cs="Tunga"/>
          <w:b/>
          <w:snapToGrid w:val="0"/>
          <w:sz w:val="20"/>
          <w:szCs w:val="20"/>
        </w:rPr>
        <w:t xml:space="preserve">C) Vital Signs: </w:t>
      </w:r>
      <w:r w:rsidRPr="001848DB">
        <w:rPr>
          <w:rFonts w:ascii="Tunga" w:eastAsia="Times New Roman" w:hAnsi="Tunga" w:cs="Tunga"/>
          <w:snapToGrid w:val="0"/>
          <w:sz w:val="20"/>
          <w:szCs w:val="20"/>
        </w:rPr>
        <w:t>Obtain BP (record which ARM was used, and if multiple sets of vitals taken, use same arm each time), HR, Temp</w:t>
      </w:r>
      <w:r w:rsidR="002C46AC">
        <w:rPr>
          <w:rFonts w:ascii="Tunga" w:eastAsia="Times New Roman" w:hAnsi="Tunga" w:cs="Tunga"/>
          <w:snapToGrid w:val="0"/>
          <w:sz w:val="20"/>
          <w:szCs w:val="20"/>
        </w:rPr>
        <w:t xml:space="preserve"> (c), SPO2, RR</w:t>
      </w:r>
      <w:r w:rsidRPr="001848DB">
        <w:rPr>
          <w:rFonts w:ascii="Tunga" w:eastAsia="Times New Roman" w:hAnsi="Tunga" w:cs="Tunga"/>
          <w:snapToGrid w:val="0"/>
          <w:sz w:val="20"/>
          <w:szCs w:val="20"/>
        </w:rPr>
        <w:t xml:space="preserve"> after participant rests in supine position for 5 minutes. </w:t>
      </w:r>
    </w:p>
    <w:p w14:paraId="1E520FE4" w14:textId="77777777" w:rsidR="001848DB" w:rsidRPr="001848DB" w:rsidRDefault="001848DB" w:rsidP="001848DB">
      <w:pPr>
        <w:widowControl w:val="0"/>
        <w:spacing w:after="0" w:line="240" w:lineRule="auto"/>
        <w:ind w:left="720"/>
        <w:rPr>
          <w:rFonts w:ascii="Tunga" w:eastAsia="Times New Roman" w:hAnsi="Tunga" w:cs="Tunga"/>
          <w:snapToGrid w:val="0"/>
          <w:sz w:val="20"/>
          <w:szCs w:val="20"/>
        </w:rPr>
      </w:pPr>
      <w:r w:rsidRPr="001848DB">
        <w:rPr>
          <w:rFonts w:ascii="Tunga" w:eastAsia="Times New Roman" w:hAnsi="Tunga" w:cs="Tunga"/>
          <w:b/>
          <w:snapToGrid w:val="0"/>
          <w:sz w:val="20"/>
          <w:szCs w:val="20"/>
        </w:rPr>
        <w:t>-</w:t>
      </w:r>
      <w:r w:rsidRPr="001848DB">
        <w:rPr>
          <w:rFonts w:ascii="Tunga" w:eastAsia="Times New Roman" w:hAnsi="Tunga" w:cs="Tunga"/>
          <w:snapToGrid w:val="0"/>
          <w:sz w:val="20"/>
          <w:szCs w:val="20"/>
        </w:rPr>
        <w:t xml:space="preserve">Vital signs to be taken 45 mins prior to pre-dose </w:t>
      </w:r>
    </w:p>
    <w:p w14:paraId="4D385FB1" w14:textId="6669A296" w:rsidR="001848DB" w:rsidRPr="001848DB" w:rsidRDefault="001848DB" w:rsidP="001848DB">
      <w:pPr>
        <w:widowControl w:val="0"/>
        <w:spacing w:after="0" w:line="240" w:lineRule="auto"/>
        <w:ind w:left="720"/>
        <w:rPr>
          <w:rFonts w:ascii="Tunga" w:eastAsia="Times New Roman" w:hAnsi="Tunga" w:cs="Tunga"/>
          <w:snapToGrid w:val="0"/>
          <w:sz w:val="20"/>
          <w:szCs w:val="20"/>
        </w:rPr>
      </w:pPr>
      <w:r w:rsidRPr="001848DB">
        <w:rPr>
          <w:rFonts w:ascii="Tunga" w:eastAsia="Times New Roman" w:hAnsi="Tunga" w:cs="Tunga"/>
          <w:b/>
          <w:snapToGrid w:val="0"/>
          <w:sz w:val="20"/>
          <w:szCs w:val="20"/>
        </w:rPr>
        <w:t>-</w:t>
      </w:r>
      <w:r w:rsidRPr="001848DB">
        <w:rPr>
          <w:rFonts w:ascii="Tunga" w:eastAsia="Times New Roman" w:hAnsi="Tunga" w:cs="Tunga"/>
          <w:snapToGrid w:val="0"/>
          <w:sz w:val="20"/>
          <w:szCs w:val="20"/>
        </w:rPr>
        <w:t xml:space="preserve">Vitals sign to be taken </w:t>
      </w:r>
      <w:r w:rsidR="002C46AC">
        <w:rPr>
          <w:rFonts w:ascii="Tunga" w:eastAsia="Times New Roman" w:hAnsi="Tunga" w:cs="Tunga"/>
          <w:snapToGrid w:val="0"/>
          <w:sz w:val="20"/>
          <w:szCs w:val="20"/>
        </w:rPr>
        <w:t xml:space="preserve">immediately </w:t>
      </w:r>
      <w:r w:rsidRPr="001848DB">
        <w:rPr>
          <w:rFonts w:ascii="Tunga" w:eastAsia="Times New Roman" w:hAnsi="Tunga" w:cs="Tunga"/>
          <w:snapToGrid w:val="0"/>
          <w:sz w:val="20"/>
          <w:szCs w:val="20"/>
        </w:rPr>
        <w:t xml:space="preserve">prior to infusion then every 15 (+ or – 5 minutes) for the first hour followed by every 30 minutes (+ or – 10 minutes) until 1 hour after the end of the infusion. </w:t>
      </w:r>
    </w:p>
    <w:p w14:paraId="06BBD62E" w14:textId="77777777" w:rsidR="001848DB" w:rsidRPr="001848DB" w:rsidRDefault="001848DB" w:rsidP="001848DB">
      <w:pPr>
        <w:widowControl w:val="0"/>
        <w:spacing w:after="0" w:line="240" w:lineRule="auto"/>
        <w:rPr>
          <w:rFonts w:ascii="Tunga" w:eastAsia="Times New Roman" w:hAnsi="Tunga" w:cs="Tunga"/>
          <w:snapToGrid w:val="0"/>
          <w:sz w:val="20"/>
          <w:szCs w:val="20"/>
        </w:rPr>
      </w:pPr>
    </w:p>
    <w:p w14:paraId="6F14641F" w14:textId="77777777" w:rsidR="001848DB" w:rsidRPr="001848DB" w:rsidRDefault="001848DB" w:rsidP="001848DB">
      <w:pPr>
        <w:widowControl w:val="0"/>
        <w:spacing w:after="0" w:line="240" w:lineRule="auto"/>
        <w:rPr>
          <w:rFonts w:ascii="Tunga" w:eastAsia="Times New Roman" w:hAnsi="Tunga" w:cs="Tunga"/>
          <w:snapToGrid w:val="0"/>
          <w:sz w:val="20"/>
          <w:szCs w:val="20"/>
        </w:rPr>
      </w:pPr>
      <w:r w:rsidRPr="001848DB">
        <w:rPr>
          <w:rFonts w:ascii="Tunga" w:eastAsia="Times New Roman" w:hAnsi="Tunga" w:cs="Tunga"/>
          <w:snapToGrid w:val="0"/>
          <w:sz w:val="20"/>
          <w:szCs w:val="20"/>
        </w:rPr>
        <w:t>13)</w:t>
      </w:r>
      <w:r w:rsidRPr="001848DB">
        <w:rPr>
          <w:rFonts w:ascii="Tunga" w:eastAsia="Times New Roman" w:hAnsi="Tunga" w:cs="Tunga"/>
          <w:b/>
          <w:snapToGrid w:val="0"/>
          <w:sz w:val="20"/>
          <w:szCs w:val="20"/>
        </w:rPr>
        <w:tab/>
        <w:t xml:space="preserve">Discharge Home: </w:t>
      </w:r>
      <w:r w:rsidRPr="001848DB">
        <w:rPr>
          <w:rFonts w:ascii="Tunga" w:eastAsia="Times New Roman" w:hAnsi="Tunga" w:cs="Tunga"/>
          <w:snapToGrid w:val="0"/>
          <w:sz w:val="20"/>
          <w:szCs w:val="20"/>
        </w:rPr>
        <w:t>After observation period is completed and participant does not display any signs of an infusion reaction</w:t>
      </w:r>
    </w:p>
    <w:p w14:paraId="7C51E90D" w14:textId="77777777" w:rsidR="001848DB" w:rsidRPr="001848DB" w:rsidRDefault="001848DB" w:rsidP="001848DB">
      <w:pPr>
        <w:widowControl w:val="0"/>
        <w:numPr>
          <w:ilvl w:val="0"/>
          <w:numId w:val="3"/>
        </w:numPr>
        <w:tabs>
          <w:tab w:val="left" w:pos="900"/>
          <w:tab w:val="left" w:pos="1260"/>
        </w:tabs>
        <w:spacing w:after="0" w:line="240" w:lineRule="auto"/>
        <w:ind w:left="990" w:hanging="270"/>
        <w:rPr>
          <w:rFonts w:ascii="Tunga" w:eastAsia="Times New Roman" w:hAnsi="Tunga" w:cs="Tunga"/>
          <w:b/>
          <w:snapToGrid w:val="0"/>
          <w:sz w:val="20"/>
          <w:szCs w:val="20"/>
        </w:rPr>
      </w:pPr>
      <w:r w:rsidRPr="001848DB">
        <w:rPr>
          <w:rFonts w:ascii="Tunga" w:eastAsia="Times New Roman" w:hAnsi="Tunga" w:cs="Tunga"/>
          <w:snapToGrid w:val="0"/>
          <w:sz w:val="20"/>
          <w:szCs w:val="20"/>
        </w:rPr>
        <w:t xml:space="preserve">D/C PIV </w:t>
      </w:r>
    </w:p>
    <w:p w14:paraId="6D669839" w14:textId="77777777" w:rsidR="001848DB" w:rsidRPr="001848DB" w:rsidRDefault="001848DB" w:rsidP="001848DB">
      <w:pPr>
        <w:widowControl w:val="0"/>
        <w:numPr>
          <w:ilvl w:val="0"/>
          <w:numId w:val="3"/>
        </w:numPr>
        <w:tabs>
          <w:tab w:val="left" w:pos="900"/>
          <w:tab w:val="left" w:pos="1260"/>
        </w:tabs>
        <w:spacing w:after="0" w:line="240" w:lineRule="auto"/>
        <w:ind w:left="990" w:hanging="270"/>
        <w:rPr>
          <w:rFonts w:ascii="Tunga" w:eastAsia="Times New Roman" w:hAnsi="Tunga" w:cs="Tunga"/>
          <w:b/>
          <w:snapToGrid w:val="0"/>
          <w:sz w:val="20"/>
          <w:szCs w:val="20"/>
        </w:rPr>
      </w:pPr>
      <w:r w:rsidRPr="001848DB">
        <w:rPr>
          <w:rFonts w:ascii="Tunga" w:eastAsia="Times New Roman" w:hAnsi="Tunga" w:cs="Tunga"/>
          <w:snapToGrid w:val="0"/>
          <w:sz w:val="20"/>
          <w:szCs w:val="20"/>
        </w:rPr>
        <w:t>Complete Billing Form</w:t>
      </w:r>
    </w:p>
    <w:p w14:paraId="13EAB055" w14:textId="77777777" w:rsidR="001848DB" w:rsidRPr="001848DB" w:rsidRDefault="001848DB" w:rsidP="001848DB">
      <w:pPr>
        <w:widowControl w:val="0"/>
        <w:spacing w:after="0" w:line="240" w:lineRule="auto"/>
        <w:rPr>
          <w:rFonts w:ascii="Tunga" w:eastAsia="Times New Roman" w:hAnsi="Tunga" w:cs="Tunga"/>
          <w:snapToGrid w:val="0"/>
          <w:sz w:val="20"/>
          <w:szCs w:val="20"/>
        </w:rPr>
      </w:pPr>
      <w:r w:rsidRPr="001848DB">
        <w:rPr>
          <w:rFonts w:ascii="Tunga" w:eastAsia="Times New Roman" w:hAnsi="Tunga" w:cs="Tunga"/>
          <w:snapToGrid w:val="0"/>
          <w:sz w:val="20"/>
          <w:szCs w:val="20"/>
        </w:rPr>
        <w:t>14)</w:t>
      </w:r>
      <w:r w:rsidRPr="001848DB">
        <w:rPr>
          <w:rFonts w:ascii="Tunga" w:eastAsia="Times New Roman" w:hAnsi="Tunga" w:cs="Tunga"/>
          <w:snapToGrid w:val="0"/>
          <w:sz w:val="20"/>
          <w:szCs w:val="20"/>
        </w:rPr>
        <w:tab/>
      </w:r>
      <w:r w:rsidRPr="001848DB">
        <w:rPr>
          <w:rFonts w:ascii="Tunga" w:eastAsia="Times New Roman" w:hAnsi="Tunga" w:cs="Tunga"/>
          <w:b/>
          <w:snapToGrid w:val="0"/>
          <w:sz w:val="20"/>
          <w:szCs w:val="20"/>
        </w:rPr>
        <w:t>Other:  I</w:t>
      </w:r>
      <w:r w:rsidRPr="001848DB">
        <w:rPr>
          <w:rFonts w:ascii="Tunga" w:eastAsia="Times New Roman" w:hAnsi="Tunga" w:cs="Tunga"/>
          <w:snapToGrid w:val="0"/>
          <w:sz w:val="20"/>
          <w:szCs w:val="20"/>
        </w:rPr>
        <w:t>nstruct participant to call PRA or PI with any questions or concerns.</w:t>
      </w:r>
    </w:p>
    <w:p w14:paraId="11695613" w14:textId="77777777" w:rsidR="001848DB" w:rsidRPr="001848DB" w:rsidRDefault="001848DB" w:rsidP="001848DB">
      <w:pPr>
        <w:widowControl w:val="0"/>
        <w:spacing w:after="0" w:line="240" w:lineRule="auto"/>
        <w:rPr>
          <w:rFonts w:ascii="Tunga" w:eastAsia="Times New Roman" w:hAnsi="Tunga" w:cs="Tunga"/>
          <w:b/>
          <w:snapToGrid w:val="0"/>
          <w:sz w:val="20"/>
          <w:szCs w:val="20"/>
        </w:rPr>
      </w:pPr>
    </w:p>
    <w:p w14:paraId="2C7306F9" w14:textId="77777777" w:rsidR="001848DB" w:rsidRDefault="001848DB"/>
    <w:sectPr w:rsidR="001848DB" w:rsidSect="001848DB">
      <w:headerReference w:type="default" r:id="rId8"/>
      <w:footerReference w:type="default" r:id="rId9"/>
      <w:endnotePr>
        <w:numFmt w:val="decimal"/>
      </w:endnotePr>
      <w:pgSz w:w="12240" w:h="15840" w:code="1"/>
      <w:pgMar w:top="288" w:right="720" w:bottom="432" w:left="1440" w:header="432"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F0D1F" w14:textId="77777777" w:rsidR="002C46AC" w:rsidRDefault="002C46AC" w:rsidP="002C46AC">
      <w:pPr>
        <w:spacing w:after="0" w:line="240" w:lineRule="auto"/>
      </w:pPr>
      <w:r>
        <w:separator/>
      </w:r>
    </w:p>
  </w:endnote>
  <w:endnote w:type="continuationSeparator" w:id="0">
    <w:p w14:paraId="7BD18B5E" w14:textId="77777777" w:rsidR="002C46AC" w:rsidRDefault="002C46AC" w:rsidP="002C4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altName w:val="Courier New"/>
    <w:panose1 w:val="000004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C620E" w14:textId="77777777" w:rsidR="00497D3F" w:rsidRDefault="00493F14">
    <w:pPr>
      <w:spacing w:line="240" w:lineRule="exact"/>
    </w:pPr>
  </w:p>
  <w:p w14:paraId="1A7A7447" w14:textId="198A6508" w:rsidR="00AB2275" w:rsidRDefault="002C46AC" w:rsidP="00AB2275">
    <w:pPr>
      <w:pStyle w:val="Footer"/>
      <w:tabs>
        <w:tab w:val="left" w:pos="1440"/>
        <w:tab w:val="left" w:pos="2880"/>
        <w:tab w:val="left" w:leader="underscore" w:pos="4320"/>
        <w:tab w:val="left" w:pos="5760"/>
        <w:tab w:val="left" w:pos="7200"/>
        <w:tab w:val="left" w:pos="8640"/>
      </w:tabs>
      <w:rPr>
        <w:rFonts w:ascii="Tunga" w:hAnsi="Tunga" w:cs="Tunga"/>
        <w:sz w:val="16"/>
        <w:szCs w:val="16"/>
      </w:rPr>
    </w:pPr>
    <w:r>
      <w:rPr>
        <w:rFonts w:ascii="Tunga" w:hAnsi="Tunga" w:cs="Tunga"/>
        <w:sz w:val="16"/>
        <w:szCs w:val="16"/>
      </w:rPr>
      <w:t xml:space="preserve">MR# 2000.007     </w:t>
    </w:r>
    <w:r>
      <w:rPr>
        <w:rFonts w:ascii="Tunga" w:hAnsi="Tunga" w:cs="Tunga"/>
        <w:b/>
        <w:sz w:val="16"/>
        <w:szCs w:val="16"/>
      </w:rPr>
      <w:t>CTRC Nurse Liaison:     MS               Reviewed by:</w:t>
    </w:r>
    <w:r>
      <w:rPr>
        <w:rFonts w:ascii="Tunga" w:hAnsi="Tunga" w:cs="Tunga"/>
        <w:sz w:val="16"/>
        <w:szCs w:val="16"/>
      </w:rPr>
      <w:t xml:space="preserve"> PN          </w:t>
    </w:r>
    <w:r>
      <w:rPr>
        <w:rFonts w:ascii="Tunga" w:hAnsi="Tunga" w:cs="Tunga"/>
        <w:sz w:val="16"/>
        <w:szCs w:val="16"/>
      </w:rPr>
      <w:tab/>
      <w:t xml:space="preserve">Date: 5.7.17      </w:t>
    </w:r>
    <w:r>
      <w:rPr>
        <w:rFonts w:ascii="Tunga" w:hAnsi="Tunga" w:cs="Tunga"/>
        <w:sz w:val="16"/>
        <w:szCs w:val="16"/>
      </w:rPr>
      <w:tab/>
    </w:r>
    <w:r>
      <w:rPr>
        <w:rFonts w:ascii="Tunga" w:hAnsi="Tunga" w:cs="Tunga"/>
        <w:sz w:val="16"/>
        <w:szCs w:val="16"/>
      </w:rPr>
      <w:tab/>
      <w:t xml:space="preserve">Page </w:t>
    </w:r>
    <w:r>
      <w:rPr>
        <w:rFonts w:ascii="Tunga" w:hAnsi="Tunga" w:cs="Tunga"/>
        <w:sz w:val="16"/>
        <w:szCs w:val="16"/>
      </w:rPr>
      <w:fldChar w:fldCharType="begin"/>
    </w:r>
    <w:r>
      <w:rPr>
        <w:rFonts w:ascii="Tunga" w:hAnsi="Tunga" w:cs="Tunga"/>
        <w:sz w:val="16"/>
        <w:szCs w:val="16"/>
      </w:rPr>
      <w:instrText xml:space="preserve"> PAGE </w:instrText>
    </w:r>
    <w:r>
      <w:rPr>
        <w:rFonts w:ascii="Tunga" w:hAnsi="Tunga" w:cs="Tunga"/>
        <w:sz w:val="16"/>
        <w:szCs w:val="16"/>
      </w:rPr>
      <w:fldChar w:fldCharType="separate"/>
    </w:r>
    <w:r w:rsidR="00493F14">
      <w:rPr>
        <w:rFonts w:ascii="Tunga" w:hAnsi="Tunga" w:cs="Tunga"/>
        <w:noProof/>
        <w:sz w:val="16"/>
        <w:szCs w:val="16"/>
      </w:rPr>
      <w:t>1</w:t>
    </w:r>
    <w:r>
      <w:rPr>
        <w:rFonts w:ascii="Tunga" w:hAnsi="Tunga" w:cs="Tunga"/>
        <w:sz w:val="16"/>
        <w:szCs w:val="16"/>
      </w:rPr>
      <w:fldChar w:fldCharType="end"/>
    </w:r>
    <w:r>
      <w:rPr>
        <w:rFonts w:ascii="Tunga" w:hAnsi="Tunga" w:cs="Tunga"/>
        <w:sz w:val="16"/>
        <w:szCs w:val="16"/>
      </w:rPr>
      <w:t xml:space="preserve"> of </w:t>
    </w:r>
    <w:r>
      <w:rPr>
        <w:rFonts w:ascii="Tunga" w:hAnsi="Tunga" w:cs="Tunga"/>
        <w:sz w:val="16"/>
        <w:szCs w:val="16"/>
      </w:rPr>
      <w:fldChar w:fldCharType="begin"/>
    </w:r>
    <w:r>
      <w:rPr>
        <w:rFonts w:ascii="Tunga" w:hAnsi="Tunga" w:cs="Tunga"/>
        <w:sz w:val="16"/>
        <w:szCs w:val="16"/>
      </w:rPr>
      <w:instrText xml:space="preserve"> NUMPAGES </w:instrText>
    </w:r>
    <w:r>
      <w:rPr>
        <w:rFonts w:ascii="Tunga" w:hAnsi="Tunga" w:cs="Tunga"/>
        <w:sz w:val="16"/>
        <w:szCs w:val="16"/>
      </w:rPr>
      <w:fldChar w:fldCharType="separate"/>
    </w:r>
    <w:r w:rsidR="00493F14">
      <w:rPr>
        <w:rFonts w:ascii="Tunga" w:hAnsi="Tunga" w:cs="Tunga"/>
        <w:noProof/>
        <w:sz w:val="16"/>
        <w:szCs w:val="16"/>
      </w:rPr>
      <w:t>1</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58219" w14:textId="77777777" w:rsidR="002C46AC" w:rsidRDefault="002C46AC" w:rsidP="002C46AC">
      <w:pPr>
        <w:spacing w:after="0" w:line="240" w:lineRule="auto"/>
      </w:pPr>
      <w:r>
        <w:separator/>
      </w:r>
    </w:p>
  </w:footnote>
  <w:footnote w:type="continuationSeparator" w:id="0">
    <w:p w14:paraId="79DA78B7" w14:textId="77777777" w:rsidR="002C46AC" w:rsidRDefault="002C46AC" w:rsidP="002C4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7C1EA" w14:textId="77777777" w:rsidR="00AB2275" w:rsidRDefault="002C46AC" w:rsidP="00AB2275">
    <w:pPr>
      <w:ind w:right="720"/>
      <w:rPr>
        <w:sz w:val="20"/>
      </w:rPr>
    </w:pPr>
    <w:r>
      <w:rPr>
        <w:b/>
        <w:sz w:val="16"/>
      </w:rPr>
      <w:t xml:space="preserve">UNIVERSITY OF COLORADO HOSPITAL      </w:t>
    </w:r>
    <w:r>
      <w:rPr>
        <w:b/>
        <w:szCs w:val="24"/>
      </w:rPr>
      <w:t>CTRC  INPATIENT</w:t>
    </w:r>
    <w:r>
      <w:rPr>
        <w:b/>
      </w:rPr>
      <w:t xml:space="preserve"> ORDERS </w:t>
    </w:r>
  </w:p>
  <w:p w14:paraId="5776EB86" w14:textId="77777777" w:rsidR="00AB2275" w:rsidRDefault="002C46AC" w:rsidP="00AB2275">
    <w:pPr>
      <w:ind w:right="720"/>
      <w:rPr>
        <w:sz w:val="12"/>
      </w:rPr>
    </w:pPr>
    <w:r>
      <w:rPr>
        <w:sz w:val="12"/>
      </w:rPr>
      <w:t xml:space="preserve">                </w:t>
    </w:r>
    <w:smartTag w:uri="urn:schemas-microsoft-com:office:smarttags" w:element="place">
      <w:smartTag w:uri="urn:schemas-microsoft-com:office:smarttags" w:element="City">
        <w:r>
          <w:rPr>
            <w:sz w:val="12"/>
          </w:rPr>
          <w:t>AURORA</w:t>
        </w:r>
      </w:smartTag>
      <w:r>
        <w:rPr>
          <w:sz w:val="12"/>
        </w:rPr>
        <w:t xml:space="preserve">, </w:t>
      </w:r>
      <w:smartTag w:uri="urn:schemas-microsoft-com:office:smarttags" w:element="State">
        <w:r>
          <w:rPr>
            <w:sz w:val="12"/>
          </w:rPr>
          <w:t>COLORADO</w:t>
        </w:r>
      </w:smartTag>
    </w:smartTag>
  </w:p>
  <w:tbl>
    <w:tblPr>
      <w:tblW w:w="0" w:type="auto"/>
      <w:tblInd w:w="120" w:type="dxa"/>
      <w:tblLayout w:type="fixed"/>
      <w:tblCellMar>
        <w:left w:w="120" w:type="dxa"/>
        <w:right w:w="120" w:type="dxa"/>
      </w:tblCellMar>
      <w:tblLook w:val="0000" w:firstRow="0" w:lastRow="0" w:firstColumn="0" w:lastColumn="0" w:noHBand="0" w:noVBand="0"/>
    </w:tblPr>
    <w:tblGrid>
      <w:gridCol w:w="6930"/>
    </w:tblGrid>
    <w:tr w:rsidR="00AB2275" w14:paraId="4ECE7E31" w14:textId="77777777" w:rsidTr="00AB2275">
      <w:tc>
        <w:tcPr>
          <w:tcW w:w="6930" w:type="dxa"/>
          <w:tcBorders>
            <w:top w:val="single" w:sz="7" w:space="0" w:color="000000"/>
            <w:left w:val="single" w:sz="7" w:space="0" w:color="000000"/>
            <w:bottom w:val="single" w:sz="7" w:space="0" w:color="000000"/>
            <w:right w:val="single" w:sz="7" w:space="0" w:color="000000"/>
          </w:tcBorders>
        </w:tcPr>
        <w:p w14:paraId="08365265" w14:textId="77777777" w:rsidR="00AB2275" w:rsidRPr="00AB2275" w:rsidRDefault="00493F14" w:rsidP="00A41EC9">
          <w:pPr>
            <w:spacing w:line="120" w:lineRule="exact"/>
            <w:rPr>
              <w:sz w:val="16"/>
              <w:szCs w:val="16"/>
            </w:rPr>
          </w:pPr>
        </w:p>
        <w:p w14:paraId="27039095" w14:textId="77777777" w:rsidR="00AB2275" w:rsidRPr="00AB2275" w:rsidRDefault="002C46AC" w:rsidP="00A41EC9">
          <w:pPr>
            <w:spacing w:after="58"/>
            <w:rPr>
              <w:sz w:val="16"/>
              <w:szCs w:val="16"/>
            </w:rPr>
          </w:pPr>
          <w:r w:rsidRPr="00AB2275">
            <w:rPr>
              <w:b/>
              <w:sz w:val="16"/>
              <w:szCs w:val="16"/>
            </w:rPr>
            <w:t>DATE:           /               /                  TIME:</w:t>
          </w:r>
        </w:p>
      </w:tc>
    </w:tr>
  </w:tbl>
  <w:p w14:paraId="62CC0460" w14:textId="77777777" w:rsidR="00497D3F" w:rsidRDefault="00493F14" w:rsidP="00EF1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42FAB"/>
    <w:multiLevelType w:val="hybridMultilevel"/>
    <w:tmpl w:val="B48847F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A22244B"/>
    <w:multiLevelType w:val="hybridMultilevel"/>
    <w:tmpl w:val="1C24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133D8"/>
    <w:multiLevelType w:val="hybridMultilevel"/>
    <w:tmpl w:val="511E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2757A"/>
    <w:multiLevelType w:val="hybridMultilevel"/>
    <w:tmpl w:val="7F8A3CA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DA86892"/>
    <w:multiLevelType w:val="hybridMultilevel"/>
    <w:tmpl w:val="D4DA6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DB0A24"/>
    <w:multiLevelType w:val="hybridMultilevel"/>
    <w:tmpl w:val="9606D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1F77DAD"/>
    <w:multiLevelType w:val="hybridMultilevel"/>
    <w:tmpl w:val="6F0E0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220A2E8">
      <w:numFmt w:val="bullet"/>
      <w:lvlText w:val="·"/>
      <w:lvlJc w:val="left"/>
      <w:pPr>
        <w:ind w:left="2160" w:hanging="360"/>
      </w:pPr>
      <w:rPr>
        <w:rFonts w:ascii="Tunga" w:eastAsia="Times New Roman" w:hAnsi="Tunga" w:cs="Tung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111C9"/>
    <w:multiLevelType w:val="hybridMultilevel"/>
    <w:tmpl w:val="F72A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0363CE"/>
    <w:multiLevelType w:val="hybridMultilevel"/>
    <w:tmpl w:val="2D9C3366"/>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9CB4044"/>
    <w:multiLevelType w:val="hybridMultilevel"/>
    <w:tmpl w:val="F92492F6"/>
    <w:lvl w:ilvl="0" w:tplc="402EB9B6">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0"/>
  </w:num>
  <w:num w:numId="5">
    <w:abstractNumId w:val="4"/>
  </w:num>
  <w:num w:numId="6">
    <w:abstractNumId w:val="6"/>
  </w:num>
  <w:num w:numId="7">
    <w:abstractNumId w:val="5"/>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8DB"/>
    <w:rsid w:val="001848DB"/>
    <w:rsid w:val="002C46AC"/>
    <w:rsid w:val="00493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3603FE8E"/>
  <w15:chartTrackingRefBased/>
  <w15:docId w15:val="{6475E190-68CD-4403-9523-7CC05761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8DB"/>
  </w:style>
  <w:style w:type="paragraph" w:styleId="Footer">
    <w:name w:val="footer"/>
    <w:basedOn w:val="Normal"/>
    <w:link w:val="FooterChar"/>
    <w:uiPriority w:val="99"/>
    <w:unhideWhenUsed/>
    <w:rsid w:val="00184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6110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UCHealth</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O'Gean, Katie</dc:creator>
  <cp:keywords/>
  <dc:description/>
  <cp:lastModifiedBy>Branham, Diane</cp:lastModifiedBy>
  <cp:revision>2</cp:revision>
  <dcterms:created xsi:type="dcterms:W3CDTF">2021-12-01T14:34:00Z</dcterms:created>
  <dcterms:modified xsi:type="dcterms:W3CDTF">2021-12-01T14:34:00Z</dcterms:modified>
</cp:coreProperties>
</file>